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Description w:val="Tableau de disposition globale du prospectus"/>
      </w:tblPr>
      <w:tblGrid>
        <w:gridCol w:w="7176"/>
        <w:gridCol w:w="3444"/>
      </w:tblGrid>
      <w:tr w:rsidR="00A929C7" w14:paraId="35F1ECBD" w14:textId="77777777" w:rsidTr="007A6E58">
        <w:trPr>
          <w:trHeight w:val="14967"/>
        </w:trPr>
        <w:tc>
          <w:tcPr>
            <w:tcW w:w="7200" w:type="dxa"/>
            <w:tcBorders>
              <w:right w:val="triple" w:sz="12" w:space="0" w:color="FFFFFF" w:themeColor="background1"/>
            </w:tcBorders>
            <w:tcMar>
              <w:right w:w="115" w:type="dxa"/>
            </w:tcMar>
          </w:tcPr>
          <w:p w14:paraId="65686DA4" w14:textId="77777777" w:rsidR="00874975" w:rsidRDefault="00A52804" w:rsidP="008217FB">
            <w:pPr>
              <w:jc w:val="center"/>
            </w:pPr>
            <w:r w:rsidRPr="00AA4794">
              <w:rPr>
                <w:noProof/>
                <w:lang w:val="fr-BE" w:eastAsia="fr-BE"/>
              </w:rPr>
              <w:drawing>
                <wp:inline distT="0" distB="0" distL="0" distR="0" wp14:anchorId="36598779" wp14:editId="23AF0FCA">
                  <wp:extent cx="2551188" cy="868680"/>
                  <wp:effectExtent l="0" t="0" r="1905" b="762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 ms.png"/>
                          <pic:cNvPicPr/>
                        </pic:nvPicPr>
                        <pic:blipFill>
                          <a:blip r:embed="rId8">
                            <a:extLst>
                              <a:ext uri="{28A0092B-C50C-407E-A947-70E740481C1C}">
                                <a14:useLocalDpi xmlns:a14="http://schemas.microsoft.com/office/drawing/2010/main" val="0"/>
                              </a:ext>
                            </a:extLst>
                          </a:blip>
                          <a:stretch>
                            <a:fillRect/>
                          </a:stretch>
                        </pic:blipFill>
                        <pic:spPr>
                          <a:xfrm>
                            <a:off x="0" y="0"/>
                            <a:ext cx="2575015" cy="876793"/>
                          </a:xfrm>
                          <a:prstGeom prst="rect">
                            <a:avLst/>
                          </a:prstGeom>
                        </pic:spPr>
                      </pic:pic>
                    </a:graphicData>
                  </a:graphic>
                </wp:inline>
              </w:drawing>
            </w:r>
            <w:r w:rsidR="008217FB">
              <w:rPr>
                <w:noProof/>
                <w:lang w:val="fr-BE" w:eastAsia="fr-BE"/>
              </w:rPr>
              <w:drawing>
                <wp:inline distT="0" distB="0" distL="0" distR="0" wp14:anchorId="0DFD8244" wp14:editId="517B21ED">
                  <wp:extent cx="881747" cy="700353"/>
                  <wp:effectExtent l="0" t="0" r="0" b="508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ans titre.png"/>
                          <pic:cNvPicPr/>
                        </pic:nvPicPr>
                        <pic:blipFill>
                          <a:blip r:embed="rId9">
                            <a:extLst>
                              <a:ext uri="{28A0092B-C50C-407E-A947-70E740481C1C}">
                                <a14:useLocalDpi xmlns:a14="http://schemas.microsoft.com/office/drawing/2010/main" val="0"/>
                              </a:ext>
                            </a:extLst>
                          </a:blip>
                          <a:stretch>
                            <a:fillRect/>
                          </a:stretch>
                        </pic:blipFill>
                        <pic:spPr>
                          <a:xfrm>
                            <a:off x="0" y="0"/>
                            <a:ext cx="894733" cy="710668"/>
                          </a:xfrm>
                          <a:prstGeom prst="rect">
                            <a:avLst/>
                          </a:prstGeom>
                        </pic:spPr>
                      </pic:pic>
                    </a:graphicData>
                  </a:graphic>
                </wp:inline>
              </w:drawing>
            </w:r>
          </w:p>
          <w:p w14:paraId="72430FDB" w14:textId="77777777" w:rsidR="00874975" w:rsidRDefault="008217FB" w:rsidP="00565120">
            <w:pPr>
              <w:pStyle w:val="Titre"/>
              <w:jc w:val="center"/>
              <w:rPr>
                <w:sz w:val="96"/>
              </w:rPr>
            </w:pPr>
            <w:r w:rsidRPr="00AB6090">
              <w:rPr>
                <w:sz w:val="96"/>
              </w:rPr>
              <w:t>Organiser un évenement</w:t>
            </w:r>
          </w:p>
          <w:p w14:paraId="11C43840" w14:textId="77777777" w:rsidR="00AB6090" w:rsidRPr="00AB6090" w:rsidRDefault="00AB6090" w:rsidP="00565120">
            <w:pPr>
              <w:pStyle w:val="Titre"/>
              <w:jc w:val="center"/>
              <w:rPr>
                <w:sz w:val="40"/>
                <w:szCs w:val="40"/>
              </w:rPr>
            </w:pPr>
          </w:p>
          <w:p w14:paraId="2FAEB41C" w14:textId="0A01AFF0" w:rsidR="00874975" w:rsidRPr="00AB6090" w:rsidRDefault="008217FB" w:rsidP="00565120">
            <w:pPr>
              <w:pStyle w:val="Sous-titre"/>
              <w:jc w:val="center"/>
              <w:rPr>
                <w:sz w:val="52"/>
              </w:rPr>
            </w:pPr>
            <w:r w:rsidRPr="00AB6090">
              <w:rPr>
                <w:sz w:val="52"/>
                <w:highlight w:val="lightGray"/>
              </w:rPr>
              <w:t>Guide à l’attention des autorités communales</w:t>
            </w:r>
            <w:r w:rsidR="005B1DDD" w:rsidRPr="005B1DDD">
              <w:rPr>
                <w:sz w:val="52"/>
                <w:highlight w:val="lightGray"/>
              </w:rPr>
              <w:t xml:space="preserve"> &amp; des organisateurs</w:t>
            </w:r>
          </w:p>
          <w:p w14:paraId="5C406D3D" w14:textId="77777777" w:rsidR="00C0778F" w:rsidRPr="00AB6090" w:rsidRDefault="00C0778F" w:rsidP="00C0778F">
            <w:pPr>
              <w:jc w:val="center"/>
              <w:rPr>
                <w:sz w:val="24"/>
              </w:rPr>
            </w:pPr>
          </w:p>
          <w:p w14:paraId="134C2DC4" w14:textId="26E7F25A" w:rsidR="005B1DDD" w:rsidRPr="005B1DDD" w:rsidRDefault="005B1DDD" w:rsidP="00C0778F">
            <w:pPr>
              <w:jc w:val="center"/>
              <w:rPr>
                <w:sz w:val="24"/>
              </w:rPr>
            </w:pPr>
            <w:r w:rsidRPr="005B1DDD">
              <w:rPr>
                <w:sz w:val="24"/>
              </w:rPr>
              <w:t>Ce document est destiné aux organisateurs de festivités et d’évènements et aux autorités communales du territoire de la zone de secours DINAPHI.</w:t>
            </w:r>
          </w:p>
          <w:p w14:paraId="2EAB998C" w14:textId="4C19658B" w:rsidR="00874975" w:rsidRPr="005B1DDD" w:rsidRDefault="005B1DDD" w:rsidP="00C0778F">
            <w:pPr>
              <w:jc w:val="center"/>
              <w:rPr>
                <w:sz w:val="22"/>
              </w:rPr>
            </w:pPr>
            <w:r w:rsidRPr="005B1DDD">
              <w:rPr>
                <w:sz w:val="22"/>
              </w:rPr>
              <w:t>Il</w:t>
            </w:r>
            <w:r w:rsidR="00E60B3C" w:rsidRPr="005B1DDD">
              <w:rPr>
                <w:sz w:val="22"/>
              </w:rPr>
              <w:t xml:space="preserve"> a pour objectif </w:t>
            </w:r>
            <w:r w:rsidRPr="005B1DDD">
              <w:rPr>
                <w:sz w:val="22"/>
              </w:rPr>
              <w:t xml:space="preserve">de </w:t>
            </w:r>
            <w:r w:rsidRPr="005B1DDD">
              <w:rPr>
                <w:sz w:val="24"/>
              </w:rPr>
              <w:t>réunir l’ensemble des recommandations minimales de sécurité et les guider dans les procédures d’autorisation.</w:t>
            </w:r>
          </w:p>
          <w:p w14:paraId="082E6847" w14:textId="77777777" w:rsidR="00C0778F" w:rsidRPr="00C0778F" w:rsidRDefault="00C0778F" w:rsidP="00C0778F">
            <w:pPr>
              <w:jc w:val="center"/>
              <w:rPr>
                <w:sz w:val="10"/>
                <w:szCs w:val="1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73"/>
              <w:gridCol w:w="3473"/>
            </w:tblGrid>
            <w:tr w:rsidR="00A52804" w14:paraId="54B56290" w14:textId="77777777" w:rsidTr="00E60B3C">
              <w:tc>
                <w:tcPr>
                  <w:tcW w:w="3473" w:type="dxa"/>
                </w:tcPr>
                <w:p w14:paraId="77632C27" w14:textId="77777777" w:rsidR="00A52804" w:rsidRDefault="00A52804" w:rsidP="00A52804">
                  <w:pPr>
                    <w:jc w:val="right"/>
                  </w:pPr>
                  <w:r>
                    <w:rPr>
                      <w:noProof/>
                      <w:lang w:val="fr-BE" w:eastAsia="fr-BE"/>
                    </w:rPr>
                    <w:drawing>
                      <wp:inline distT="0" distB="0" distL="0" distR="0" wp14:anchorId="7BD155EA" wp14:editId="28D9E387">
                        <wp:extent cx="2061268" cy="1199478"/>
                        <wp:effectExtent l="0" t="0" r="0" b="1270"/>
                        <wp:docPr id="1" name="Image 1" descr="RÃ©sultat de recherche d'images pour &quot;fÃªte chapitea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Ã©sultat de recherche d'images pour &quot;fÃªte chapiteau&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1268" cy="1199478"/>
                                </a:xfrm>
                                <a:prstGeom prst="rect">
                                  <a:avLst/>
                                </a:prstGeom>
                                <a:noFill/>
                                <a:ln>
                                  <a:noFill/>
                                </a:ln>
                              </pic:spPr>
                            </pic:pic>
                          </a:graphicData>
                        </a:graphic>
                      </wp:inline>
                    </w:drawing>
                  </w:r>
                </w:p>
                <w:p w14:paraId="32A1D57F" w14:textId="77777777" w:rsidR="00E60B3C" w:rsidRPr="00E60B3C" w:rsidRDefault="00E60B3C" w:rsidP="00A52804">
                  <w:pPr>
                    <w:jc w:val="right"/>
                    <w:rPr>
                      <w:sz w:val="4"/>
                      <w:szCs w:val="4"/>
                    </w:rPr>
                  </w:pPr>
                </w:p>
              </w:tc>
              <w:tc>
                <w:tcPr>
                  <w:tcW w:w="3473" w:type="dxa"/>
                </w:tcPr>
                <w:p w14:paraId="05883066" w14:textId="77777777" w:rsidR="00A52804" w:rsidRDefault="00A52804" w:rsidP="00874975">
                  <w:r>
                    <w:rPr>
                      <w:noProof/>
                      <w:lang w:val="fr-BE" w:eastAsia="fr-BE"/>
                    </w:rPr>
                    <w:drawing>
                      <wp:inline distT="0" distB="0" distL="0" distR="0" wp14:anchorId="49FA6CB6" wp14:editId="27296493">
                        <wp:extent cx="2015490" cy="1198880"/>
                        <wp:effectExtent l="0" t="0" r="3810" b="1270"/>
                        <wp:docPr id="2" name="Image 2" descr="RÃ©sultat de recherche d'images pour &quot;lacher lanter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Ã©sultat de recherche d'images pour &quot;lacher lanterne&quot;"/>
                                <pic:cNvPicPr>
                                  <a:picLocks noChangeAspect="1" noChangeArrowheads="1"/>
                                </pic:cNvPicPr>
                              </pic:nvPicPr>
                              <pic:blipFill rotWithShape="1">
                                <a:blip r:embed="rId11">
                                  <a:extLst>
                                    <a:ext uri="{28A0092B-C50C-407E-A947-70E740481C1C}">
                                      <a14:useLocalDpi xmlns:a14="http://schemas.microsoft.com/office/drawing/2010/main" val="0"/>
                                    </a:ext>
                                  </a:extLst>
                                </a:blip>
                                <a:srcRect l="13898" r="11183"/>
                                <a:stretch/>
                              </pic:blipFill>
                              <pic:spPr bwMode="auto">
                                <a:xfrm>
                                  <a:off x="0" y="0"/>
                                  <a:ext cx="2039393" cy="121309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52804" w14:paraId="6A8CBDA6" w14:textId="77777777" w:rsidTr="00E60B3C">
              <w:tc>
                <w:tcPr>
                  <w:tcW w:w="3473" w:type="dxa"/>
                </w:tcPr>
                <w:p w14:paraId="4D932047" w14:textId="77777777" w:rsidR="00A52804" w:rsidRDefault="00A52804" w:rsidP="00874975">
                  <w:r>
                    <w:rPr>
                      <w:noProof/>
                      <w:lang w:val="fr-BE" w:eastAsia="fr-BE"/>
                    </w:rPr>
                    <w:drawing>
                      <wp:inline distT="0" distB="0" distL="0" distR="0" wp14:anchorId="7A0428CD" wp14:editId="0C9E32AB">
                        <wp:extent cx="2067148" cy="1176928"/>
                        <wp:effectExtent l="0" t="0" r="0" b="4445"/>
                        <wp:docPr id="5" name="Image 5" descr="RÃ©sultat de recherche d'images pour &quot;grand rou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Ã©sultat de recherche d'images pour &quot;grand roue&quot;"/>
                                <pic:cNvPicPr>
                                  <a:picLocks noChangeAspect="1" noChangeArrowheads="1"/>
                                </pic:cNvPicPr>
                              </pic:nvPicPr>
                              <pic:blipFill rotWithShape="1">
                                <a:blip r:embed="rId12">
                                  <a:extLst>
                                    <a:ext uri="{28A0092B-C50C-407E-A947-70E740481C1C}">
                                      <a14:useLocalDpi xmlns:a14="http://schemas.microsoft.com/office/drawing/2010/main" val="0"/>
                                    </a:ext>
                                  </a:extLst>
                                </a:blip>
                                <a:srcRect t="15528" b="6240"/>
                                <a:stretch/>
                              </pic:blipFill>
                              <pic:spPr bwMode="auto">
                                <a:xfrm>
                                  <a:off x="0" y="0"/>
                                  <a:ext cx="2096446" cy="11936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73" w:type="dxa"/>
                </w:tcPr>
                <w:p w14:paraId="204A2833" w14:textId="77777777" w:rsidR="00A52804" w:rsidRDefault="00A52804" w:rsidP="00874975">
                  <w:r>
                    <w:rPr>
                      <w:noProof/>
                      <w:lang w:val="fr-BE" w:eastAsia="fr-BE"/>
                    </w:rPr>
                    <w:drawing>
                      <wp:inline distT="0" distB="0" distL="0" distR="0" wp14:anchorId="2C0A76B4" wp14:editId="2878B427">
                        <wp:extent cx="2021727" cy="1177637"/>
                        <wp:effectExtent l="0" t="0" r="0" b="3810"/>
                        <wp:docPr id="3" name="Image 3" descr="RÃ©sultat de recherche d'images pour &quot;marchÃ© vue du hau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Ã©sultat de recherche d'images pour &quot;marchÃ© vue du haut&quot;"/>
                                <pic:cNvPicPr>
                                  <a:picLocks noChangeAspect="1" noChangeArrowheads="1"/>
                                </pic:cNvPicPr>
                              </pic:nvPicPr>
                              <pic:blipFill rotWithShape="1">
                                <a:blip r:embed="rId13">
                                  <a:extLst>
                                    <a:ext uri="{28A0092B-C50C-407E-A947-70E740481C1C}">
                                      <a14:useLocalDpi xmlns:a14="http://schemas.microsoft.com/office/drawing/2010/main" val="0"/>
                                    </a:ext>
                                  </a:extLst>
                                </a:blip>
                                <a:srcRect t="22357"/>
                                <a:stretch/>
                              </pic:blipFill>
                              <pic:spPr bwMode="auto">
                                <a:xfrm>
                                  <a:off x="0" y="0"/>
                                  <a:ext cx="2046506" cy="1192070"/>
                                </a:xfrm>
                                <a:prstGeom prst="rect">
                                  <a:avLst/>
                                </a:prstGeom>
                                <a:noFill/>
                                <a:ln>
                                  <a:noFill/>
                                </a:ln>
                                <a:extLst>
                                  <a:ext uri="{53640926-AAD7-44D8-BBD7-CCE9431645EC}">
                                    <a14:shadowObscured xmlns:a14="http://schemas.microsoft.com/office/drawing/2010/main"/>
                                  </a:ext>
                                </a:extLst>
                              </pic:spPr>
                            </pic:pic>
                          </a:graphicData>
                        </a:graphic>
                      </wp:inline>
                    </w:drawing>
                  </w:r>
                </w:p>
                <w:p w14:paraId="57F4EF4A" w14:textId="77777777" w:rsidR="00E60B3C" w:rsidRPr="00E60B3C" w:rsidRDefault="00E60B3C" w:rsidP="00874975">
                  <w:pPr>
                    <w:rPr>
                      <w:sz w:val="4"/>
                      <w:szCs w:val="4"/>
                    </w:rPr>
                  </w:pPr>
                </w:p>
              </w:tc>
            </w:tr>
            <w:tr w:rsidR="00A52804" w14:paraId="562B35CA" w14:textId="77777777" w:rsidTr="00E60B3C">
              <w:tc>
                <w:tcPr>
                  <w:tcW w:w="3473" w:type="dxa"/>
                </w:tcPr>
                <w:p w14:paraId="34548C5B" w14:textId="77777777" w:rsidR="00A52804" w:rsidRDefault="008217FB" w:rsidP="00874975">
                  <w:r>
                    <w:rPr>
                      <w:noProof/>
                      <w:lang w:val="fr-BE" w:eastAsia="fr-BE"/>
                    </w:rPr>
                    <w:drawing>
                      <wp:inline distT="0" distB="0" distL="0" distR="0" wp14:anchorId="39A41110" wp14:editId="662F64EF">
                        <wp:extent cx="2064353" cy="1323340"/>
                        <wp:effectExtent l="0" t="0" r="0" b="0"/>
                        <wp:docPr id="8" name="Image 8" descr="RÃ©sultat de recherche d'images pour &quot;feu d'artifi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Ã©sultat de recherche d'images pour &quot;feu d'artifice&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3067" cy="1341747"/>
                                </a:xfrm>
                                <a:prstGeom prst="rect">
                                  <a:avLst/>
                                </a:prstGeom>
                                <a:noFill/>
                                <a:ln>
                                  <a:noFill/>
                                </a:ln>
                              </pic:spPr>
                            </pic:pic>
                          </a:graphicData>
                        </a:graphic>
                      </wp:inline>
                    </w:drawing>
                  </w:r>
                </w:p>
              </w:tc>
              <w:tc>
                <w:tcPr>
                  <w:tcW w:w="3473" w:type="dxa"/>
                </w:tcPr>
                <w:p w14:paraId="2A994CFC" w14:textId="77777777" w:rsidR="00A52804" w:rsidRDefault="008217FB" w:rsidP="00874975">
                  <w:r>
                    <w:rPr>
                      <w:noProof/>
                      <w:lang w:val="fr-BE" w:eastAsia="fr-BE"/>
                    </w:rPr>
                    <w:drawing>
                      <wp:inline distT="0" distB="0" distL="0" distR="0" wp14:anchorId="434001A9" wp14:editId="098C8C43">
                        <wp:extent cx="2021205" cy="1323340"/>
                        <wp:effectExtent l="0" t="0" r="0" b="0"/>
                        <wp:docPr id="10" name="Image 10" descr="RÃ©sultat de recherche d'images pour &quot;montgolfiÃ¨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Ã©sultat de recherche d'images pour &quot;montgolfiÃ¨re&quot;"/>
                                <pic:cNvPicPr>
                                  <a:picLocks noChangeAspect="1" noChangeArrowheads="1"/>
                                </pic:cNvPicPr>
                              </pic:nvPicPr>
                              <pic:blipFill rotWithShape="1">
                                <a:blip r:embed="rId15">
                                  <a:extLst>
                                    <a:ext uri="{28A0092B-C50C-407E-A947-70E740481C1C}">
                                      <a14:useLocalDpi xmlns:a14="http://schemas.microsoft.com/office/drawing/2010/main" val="0"/>
                                    </a:ext>
                                  </a:extLst>
                                </a:blip>
                                <a:srcRect l="8475"/>
                                <a:stretch/>
                              </pic:blipFill>
                              <pic:spPr bwMode="auto">
                                <a:xfrm rot="10800000" flipV="1">
                                  <a:off x="0" y="0"/>
                                  <a:ext cx="2071027" cy="13559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2BB62D8" w14:textId="77777777" w:rsidR="00A52804" w:rsidRDefault="00A52804" w:rsidP="00874975"/>
        </w:tc>
        <w:tc>
          <w:tcPr>
            <w:tcW w:w="3456" w:type="dxa"/>
            <w:tcBorders>
              <w:left w:val="triple" w:sz="12" w:space="0" w:color="FFFFFF" w:themeColor="background1"/>
            </w:tcBorders>
          </w:tcPr>
          <w:tbl>
            <w:tblPr>
              <w:tblW w:w="3451" w:type="dxa"/>
              <w:tblBorders>
                <w:insideH w:val="triple" w:sz="12" w:space="0" w:color="FFFFFF" w:themeColor="background1"/>
                <w:insideV w:val="single" w:sz="48" w:space="0" w:color="FFFFFF" w:themeColor="background1"/>
              </w:tblBorders>
              <w:tblLayout w:type="fixed"/>
              <w:tblCellMar>
                <w:left w:w="288" w:type="dxa"/>
                <w:right w:w="288" w:type="dxa"/>
              </w:tblCellMar>
              <w:tblLook w:val="04A0" w:firstRow="1" w:lastRow="0" w:firstColumn="1" w:lastColumn="0" w:noHBand="0" w:noVBand="1"/>
              <w:tblDescription w:val="Tableau pour la disposition du côté droit"/>
            </w:tblPr>
            <w:tblGrid>
              <w:gridCol w:w="3451"/>
            </w:tblGrid>
            <w:tr w:rsidR="00A929C7" w14:paraId="73FB697E" w14:textId="77777777" w:rsidTr="005B1DDD">
              <w:trPr>
                <w:trHeight w:hRule="exact" w:val="15099"/>
              </w:trPr>
              <w:tc>
                <w:tcPr>
                  <w:tcW w:w="3451" w:type="dxa"/>
                  <w:shd w:val="clear" w:color="auto" w:fill="C00000"/>
                  <w:tcMar>
                    <w:top w:w="1440" w:type="dxa"/>
                  </w:tcMar>
                </w:tcPr>
                <w:p w14:paraId="79CBD7D9" w14:textId="77777777" w:rsidR="007A7992" w:rsidRDefault="00EE6A94" w:rsidP="00876FBA">
                  <w:pPr>
                    <w:rPr>
                      <w:color w:val="FFFFFF" w:themeColor="background1"/>
                      <w:sz w:val="28"/>
                    </w:rPr>
                  </w:pPr>
                  <w:r w:rsidRPr="00AB6090">
                    <w:rPr>
                      <w:color w:val="FFFFFF" w:themeColor="background1"/>
                      <w:sz w:val="28"/>
                    </w:rPr>
                    <w:t>Dans quel cas faut-il demander avis à la zone de secours ?</w:t>
                  </w:r>
                </w:p>
                <w:p w14:paraId="1C24A8CE" w14:textId="77777777" w:rsidR="00AB6090" w:rsidRPr="00AB6090" w:rsidRDefault="00AB6090" w:rsidP="00876FBA">
                  <w:pPr>
                    <w:rPr>
                      <w:color w:val="FFFFFF" w:themeColor="background1"/>
                      <w:sz w:val="28"/>
                    </w:rPr>
                  </w:pPr>
                </w:p>
                <w:p w14:paraId="456C9BCF" w14:textId="77777777" w:rsidR="00876FBA" w:rsidRPr="00AB6090" w:rsidRDefault="00876FBA" w:rsidP="00876FBA">
                  <w:pPr>
                    <w:rPr>
                      <w:color w:val="FFFFFF" w:themeColor="background1"/>
                      <w:sz w:val="4"/>
                      <w:szCs w:val="6"/>
                    </w:rPr>
                  </w:pPr>
                </w:p>
                <w:p w14:paraId="72A23E25" w14:textId="77777777" w:rsidR="00EE6A94" w:rsidRDefault="00EE6A94" w:rsidP="00876FBA">
                  <w:pPr>
                    <w:rPr>
                      <w:color w:val="FFFFFF" w:themeColor="background1"/>
                      <w:sz w:val="28"/>
                    </w:rPr>
                  </w:pPr>
                  <w:r w:rsidRPr="00AB6090">
                    <w:rPr>
                      <w:color w:val="FFFFFF" w:themeColor="background1"/>
                      <w:sz w:val="28"/>
                    </w:rPr>
                    <w:t>Comment introduire une demande d’avis ?</w:t>
                  </w:r>
                </w:p>
                <w:p w14:paraId="55370B80" w14:textId="77777777" w:rsidR="00AB6090" w:rsidRPr="00AB6090" w:rsidRDefault="00AB6090" w:rsidP="00876FBA">
                  <w:pPr>
                    <w:rPr>
                      <w:color w:val="FFFFFF" w:themeColor="background1"/>
                      <w:sz w:val="28"/>
                    </w:rPr>
                  </w:pPr>
                </w:p>
                <w:p w14:paraId="3BC1034B" w14:textId="77777777" w:rsidR="00876FBA" w:rsidRPr="00AB6090" w:rsidRDefault="00876FBA" w:rsidP="00876FBA">
                  <w:pPr>
                    <w:rPr>
                      <w:color w:val="FFFFFF" w:themeColor="background1"/>
                      <w:sz w:val="4"/>
                      <w:szCs w:val="6"/>
                    </w:rPr>
                  </w:pPr>
                </w:p>
                <w:p w14:paraId="76A82D42" w14:textId="77777777" w:rsidR="00EE6A94" w:rsidRDefault="00EE6A94" w:rsidP="00876FBA">
                  <w:pPr>
                    <w:rPr>
                      <w:color w:val="FFFFFF" w:themeColor="background1"/>
                      <w:sz w:val="28"/>
                    </w:rPr>
                  </w:pPr>
                  <w:r w:rsidRPr="00AB6090">
                    <w:rPr>
                      <w:color w:val="FFFFFF" w:themeColor="background1"/>
                      <w:sz w:val="28"/>
                    </w:rPr>
                    <w:t>Quelles sont les recommandations de base qui seront toujours d’application ?</w:t>
                  </w:r>
                </w:p>
                <w:p w14:paraId="2CDD3517" w14:textId="77777777" w:rsidR="00AB6090" w:rsidRPr="00AB6090" w:rsidRDefault="00AB6090" w:rsidP="00876FBA">
                  <w:pPr>
                    <w:rPr>
                      <w:color w:val="FFFFFF" w:themeColor="background1"/>
                      <w:sz w:val="28"/>
                    </w:rPr>
                  </w:pPr>
                </w:p>
                <w:p w14:paraId="3D4A6D6D" w14:textId="77777777" w:rsidR="00876FBA" w:rsidRPr="00AB6090" w:rsidRDefault="00876FBA" w:rsidP="00876FBA">
                  <w:pPr>
                    <w:rPr>
                      <w:color w:val="FFFFFF" w:themeColor="background1"/>
                      <w:sz w:val="4"/>
                      <w:szCs w:val="6"/>
                    </w:rPr>
                  </w:pPr>
                </w:p>
                <w:p w14:paraId="6B54BFAB" w14:textId="77777777" w:rsidR="00EE6A94" w:rsidRDefault="00EE6A94" w:rsidP="00876FBA">
                  <w:pPr>
                    <w:rPr>
                      <w:color w:val="FFFFFF" w:themeColor="background1"/>
                      <w:sz w:val="28"/>
                    </w:rPr>
                  </w:pPr>
                  <w:r w:rsidRPr="00AB6090">
                    <w:rPr>
                      <w:color w:val="FFFFFF" w:themeColor="background1"/>
                      <w:sz w:val="28"/>
                    </w:rPr>
                    <w:t>Quels sont les recommandations à retenir pour les cas où la zone de secours ne doit pas donner son avis</w:t>
                  </w:r>
                  <w:r w:rsidR="00E60B3C" w:rsidRPr="00AB6090">
                    <w:rPr>
                      <w:color w:val="FFFFFF" w:themeColor="background1"/>
                      <w:sz w:val="28"/>
                    </w:rPr>
                    <w:t> ?</w:t>
                  </w:r>
                </w:p>
                <w:p w14:paraId="2D49F17E" w14:textId="77777777" w:rsidR="00AB6090" w:rsidRPr="00AB6090" w:rsidRDefault="00AB6090" w:rsidP="00876FBA">
                  <w:pPr>
                    <w:rPr>
                      <w:color w:val="FFFFFF" w:themeColor="background1"/>
                      <w:sz w:val="28"/>
                    </w:rPr>
                  </w:pPr>
                </w:p>
                <w:p w14:paraId="08C237AF" w14:textId="77777777" w:rsidR="00876FBA" w:rsidRPr="00AB6090" w:rsidRDefault="00876FBA" w:rsidP="00876FBA">
                  <w:pPr>
                    <w:rPr>
                      <w:color w:val="FFFFFF" w:themeColor="background1"/>
                      <w:sz w:val="4"/>
                      <w:szCs w:val="6"/>
                    </w:rPr>
                  </w:pPr>
                </w:p>
                <w:p w14:paraId="1DDEDDF0" w14:textId="77777777" w:rsidR="00EE6A94" w:rsidRDefault="00EE6A94" w:rsidP="00876FBA">
                  <w:pPr>
                    <w:rPr>
                      <w:color w:val="FFFFFF" w:themeColor="background1"/>
                      <w:sz w:val="28"/>
                    </w:rPr>
                  </w:pPr>
                  <w:r w:rsidRPr="00AB6090">
                    <w:rPr>
                      <w:color w:val="FFFFFF" w:themeColor="background1"/>
                      <w:sz w:val="28"/>
                    </w:rPr>
                    <w:t>La zone de secours fait-elle un contrôle sur site avant l’évènement ?</w:t>
                  </w:r>
                </w:p>
                <w:p w14:paraId="09F4FDDB" w14:textId="77777777" w:rsidR="00AB6090" w:rsidRPr="00AB6090" w:rsidRDefault="00AB6090" w:rsidP="00876FBA">
                  <w:pPr>
                    <w:rPr>
                      <w:color w:val="FFFFFF" w:themeColor="background1"/>
                      <w:sz w:val="28"/>
                    </w:rPr>
                  </w:pPr>
                </w:p>
                <w:p w14:paraId="16BB80D8" w14:textId="77777777" w:rsidR="00876FBA" w:rsidRPr="00AB6090" w:rsidRDefault="00876FBA" w:rsidP="00876FBA">
                  <w:pPr>
                    <w:rPr>
                      <w:color w:val="FFFFFF" w:themeColor="background1"/>
                      <w:sz w:val="4"/>
                      <w:szCs w:val="6"/>
                    </w:rPr>
                  </w:pPr>
                </w:p>
                <w:p w14:paraId="324AA07B" w14:textId="77777777" w:rsidR="00EE6A94" w:rsidRDefault="00EE6A94" w:rsidP="00876FBA">
                  <w:r w:rsidRPr="00AB6090">
                    <w:rPr>
                      <w:color w:val="FFFFFF" w:themeColor="background1"/>
                      <w:sz w:val="28"/>
                    </w:rPr>
                    <w:t>Un dispositif pompier est-il disponible sur site pendant l’évènement ?</w:t>
                  </w:r>
                </w:p>
              </w:tc>
            </w:tr>
          </w:tbl>
          <w:p w14:paraId="0F0B0CAC" w14:textId="77777777" w:rsidR="00A929C7" w:rsidRDefault="00A929C7"/>
        </w:tc>
      </w:tr>
    </w:tbl>
    <w:p w14:paraId="6819EF83" w14:textId="77777777" w:rsidR="00876FBA" w:rsidRPr="00AB6090" w:rsidRDefault="00876FBA" w:rsidP="00C83752"/>
    <w:sdt>
      <w:sdtPr>
        <w:rPr>
          <w:rFonts w:eastAsiaTheme="minorEastAsia" w:cstheme="minorBidi"/>
          <w:b w:val="0"/>
          <w:sz w:val="18"/>
          <w:szCs w:val="26"/>
          <w:u w:val="none"/>
        </w:rPr>
        <w:id w:val="1543016955"/>
        <w:docPartObj>
          <w:docPartGallery w:val="Table of Contents"/>
          <w:docPartUnique/>
        </w:docPartObj>
      </w:sdtPr>
      <w:sdtEndPr>
        <w:rPr>
          <w:bCs/>
        </w:rPr>
      </w:sdtEndPr>
      <w:sdtContent>
        <w:p w14:paraId="737CE761" w14:textId="1BA1EC8C" w:rsidR="00306BBD" w:rsidRDefault="00306BBD">
          <w:pPr>
            <w:pStyle w:val="En-ttedetabledesmatires"/>
          </w:pPr>
          <w:r>
            <w:t>Table des matières</w:t>
          </w:r>
        </w:p>
        <w:p w14:paraId="0BC9598A" w14:textId="77777777" w:rsidR="0063032F" w:rsidRDefault="00306BBD">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r>
            <w:fldChar w:fldCharType="begin"/>
          </w:r>
          <w:r>
            <w:instrText xml:space="preserve"> TOC \o "1-3" \h \z \u </w:instrText>
          </w:r>
          <w:r>
            <w:fldChar w:fldCharType="separate"/>
          </w:r>
          <w:hyperlink w:anchor="_Toc56426894" w:history="1">
            <w:r w:rsidR="0063032F" w:rsidRPr="008E46F5">
              <w:rPr>
                <w:rStyle w:val="Lienhypertexte"/>
                <w:noProof/>
              </w:rPr>
              <w:t>1.</w:t>
            </w:r>
            <w:r w:rsidR="0063032F">
              <w:rPr>
                <w:rFonts w:asciiTheme="minorHAnsi" w:hAnsiTheme="minorHAnsi" w:cstheme="minorBidi"/>
                <w:b w:val="0"/>
                <w:bCs w:val="0"/>
                <w:caps w:val="0"/>
                <w:noProof/>
                <w:color w:val="auto"/>
                <w:sz w:val="22"/>
                <w:szCs w:val="22"/>
                <w:lang w:val="fr-BE" w:eastAsia="fr-BE"/>
              </w:rPr>
              <w:tab/>
            </w:r>
            <w:r w:rsidR="0063032F" w:rsidRPr="008E46F5">
              <w:rPr>
                <w:rStyle w:val="Lienhypertexte"/>
                <w:noProof/>
              </w:rPr>
              <w:t>Introduction.</w:t>
            </w:r>
            <w:r w:rsidR="0063032F">
              <w:rPr>
                <w:noProof/>
                <w:webHidden/>
              </w:rPr>
              <w:tab/>
            </w:r>
            <w:r w:rsidR="0063032F">
              <w:rPr>
                <w:noProof/>
                <w:webHidden/>
              </w:rPr>
              <w:fldChar w:fldCharType="begin"/>
            </w:r>
            <w:r w:rsidR="0063032F">
              <w:rPr>
                <w:noProof/>
                <w:webHidden/>
              </w:rPr>
              <w:instrText xml:space="preserve"> PAGEREF _Toc56426894 \h </w:instrText>
            </w:r>
            <w:r w:rsidR="0063032F">
              <w:rPr>
                <w:noProof/>
                <w:webHidden/>
              </w:rPr>
            </w:r>
            <w:r w:rsidR="0063032F">
              <w:rPr>
                <w:noProof/>
                <w:webHidden/>
              </w:rPr>
              <w:fldChar w:fldCharType="separate"/>
            </w:r>
            <w:r w:rsidR="00B254CB">
              <w:rPr>
                <w:noProof/>
                <w:webHidden/>
              </w:rPr>
              <w:t>4</w:t>
            </w:r>
            <w:r w:rsidR="0063032F">
              <w:rPr>
                <w:noProof/>
                <w:webHidden/>
              </w:rPr>
              <w:fldChar w:fldCharType="end"/>
            </w:r>
          </w:hyperlink>
        </w:p>
        <w:p w14:paraId="467CBCE7" w14:textId="77777777" w:rsidR="0063032F" w:rsidRDefault="0063032F">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hyperlink w:anchor="_Toc56426895" w:history="1">
            <w:r w:rsidRPr="008E46F5">
              <w:rPr>
                <w:rStyle w:val="Lienhypertexte"/>
                <w:noProof/>
              </w:rPr>
              <w:t>2.</w:t>
            </w:r>
            <w:r>
              <w:rPr>
                <w:rFonts w:asciiTheme="minorHAnsi" w:hAnsiTheme="minorHAnsi" w:cstheme="minorBidi"/>
                <w:b w:val="0"/>
                <w:bCs w:val="0"/>
                <w:caps w:val="0"/>
                <w:noProof/>
                <w:color w:val="auto"/>
                <w:sz w:val="22"/>
                <w:szCs w:val="22"/>
                <w:lang w:val="fr-BE" w:eastAsia="fr-BE"/>
              </w:rPr>
              <w:tab/>
            </w:r>
            <w:r w:rsidRPr="008E46F5">
              <w:rPr>
                <w:rStyle w:val="Lienhypertexte"/>
                <w:noProof/>
              </w:rPr>
              <w:t>Domaine d’application et principes légaux.</w:t>
            </w:r>
            <w:r>
              <w:rPr>
                <w:noProof/>
                <w:webHidden/>
              </w:rPr>
              <w:tab/>
            </w:r>
            <w:r>
              <w:rPr>
                <w:noProof/>
                <w:webHidden/>
              </w:rPr>
              <w:fldChar w:fldCharType="begin"/>
            </w:r>
            <w:r>
              <w:rPr>
                <w:noProof/>
                <w:webHidden/>
              </w:rPr>
              <w:instrText xml:space="preserve"> PAGEREF _Toc56426895 \h </w:instrText>
            </w:r>
            <w:r>
              <w:rPr>
                <w:noProof/>
                <w:webHidden/>
              </w:rPr>
            </w:r>
            <w:r>
              <w:rPr>
                <w:noProof/>
                <w:webHidden/>
              </w:rPr>
              <w:fldChar w:fldCharType="separate"/>
            </w:r>
            <w:r w:rsidR="00B254CB">
              <w:rPr>
                <w:noProof/>
                <w:webHidden/>
              </w:rPr>
              <w:t>5</w:t>
            </w:r>
            <w:r>
              <w:rPr>
                <w:noProof/>
                <w:webHidden/>
              </w:rPr>
              <w:fldChar w:fldCharType="end"/>
            </w:r>
          </w:hyperlink>
        </w:p>
        <w:p w14:paraId="3A67C57B"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896" w:history="1">
            <w:r w:rsidRPr="008E46F5">
              <w:rPr>
                <w:rStyle w:val="Lienhypertexte"/>
                <w:noProof/>
              </w:rPr>
              <w:t>A.</w:t>
            </w:r>
            <w:r>
              <w:rPr>
                <w:rFonts w:cstheme="minorBidi"/>
                <w:b w:val="0"/>
                <w:bCs w:val="0"/>
                <w:noProof/>
                <w:color w:val="auto"/>
                <w:sz w:val="22"/>
                <w:szCs w:val="22"/>
                <w:lang w:val="fr-BE" w:eastAsia="fr-BE"/>
              </w:rPr>
              <w:tab/>
            </w:r>
            <w:r w:rsidRPr="008E46F5">
              <w:rPr>
                <w:rStyle w:val="Lienhypertexte"/>
                <w:noProof/>
              </w:rPr>
              <w:t>Distinction entre événement public et privé</w:t>
            </w:r>
            <w:r>
              <w:rPr>
                <w:noProof/>
                <w:webHidden/>
              </w:rPr>
              <w:tab/>
            </w:r>
            <w:r>
              <w:rPr>
                <w:noProof/>
                <w:webHidden/>
              </w:rPr>
              <w:fldChar w:fldCharType="begin"/>
            </w:r>
            <w:r>
              <w:rPr>
                <w:noProof/>
                <w:webHidden/>
              </w:rPr>
              <w:instrText xml:space="preserve"> PAGEREF _Toc56426896 \h </w:instrText>
            </w:r>
            <w:r>
              <w:rPr>
                <w:noProof/>
                <w:webHidden/>
              </w:rPr>
            </w:r>
            <w:r>
              <w:rPr>
                <w:noProof/>
                <w:webHidden/>
              </w:rPr>
              <w:fldChar w:fldCharType="separate"/>
            </w:r>
            <w:r w:rsidR="00B254CB">
              <w:rPr>
                <w:noProof/>
                <w:webHidden/>
              </w:rPr>
              <w:t>5</w:t>
            </w:r>
            <w:r>
              <w:rPr>
                <w:noProof/>
                <w:webHidden/>
              </w:rPr>
              <w:fldChar w:fldCharType="end"/>
            </w:r>
          </w:hyperlink>
        </w:p>
        <w:p w14:paraId="3A0FD82D"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897" w:history="1">
            <w:r w:rsidRPr="008E46F5">
              <w:rPr>
                <w:rStyle w:val="Lienhypertexte"/>
                <w:noProof/>
              </w:rPr>
              <w:t>B.</w:t>
            </w:r>
            <w:r>
              <w:rPr>
                <w:rFonts w:cstheme="minorBidi"/>
                <w:b w:val="0"/>
                <w:bCs w:val="0"/>
                <w:noProof/>
                <w:color w:val="auto"/>
                <w:sz w:val="22"/>
                <w:szCs w:val="22"/>
                <w:lang w:val="fr-BE" w:eastAsia="fr-BE"/>
              </w:rPr>
              <w:tab/>
            </w:r>
            <w:r w:rsidRPr="008E46F5">
              <w:rPr>
                <w:rStyle w:val="Lienhypertexte"/>
                <w:noProof/>
              </w:rPr>
              <w:t>Pouvoirs des services de secours</w:t>
            </w:r>
            <w:r>
              <w:rPr>
                <w:noProof/>
                <w:webHidden/>
              </w:rPr>
              <w:tab/>
            </w:r>
            <w:r>
              <w:rPr>
                <w:noProof/>
                <w:webHidden/>
              </w:rPr>
              <w:fldChar w:fldCharType="begin"/>
            </w:r>
            <w:r>
              <w:rPr>
                <w:noProof/>
                <w:webHidden/>
              </w:rPr>
              <w:instrText xml:space="preserve"> PAGEREF _Toc56426897 \h </w:instrText>
            </w:r>
            <w:r>
              <w:rPr>
                <w:noProof/>
                <w:webHidden/>
              </w:rPr>
            </w:r>
            <w:r>
              <w:rPr>
                <w:noProof/>
                <w:webHidden/>
              </w:rPr>
              <w:fldChar w:fldCharType="separate"/>
            </w:r>
            <w:r w:rsidR="00B254CB">
              <w:rPr>
                <w:noProof/>
                <w:webHidden/>
              </w:rPr>
              <w:t>5</w:t>
            </w:r>
            <w:r>
              <w:rPr>
                <w:noProof/>
                <w:webHidden/>
              </w:rPr>
              <w:fldChar w:fldCharType="end"/>
            </w:r>
          </w:hyperlink>
        </w:p>
        <w:p w14:paraId="0CE4FDAF"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898" w:history="1">
            <w:r w:rsidRPr="008E46F5">
              <w:rPr>
                <w:rStyle w:val="Lienhypertexte"/>
                <w:noProof/>
              </w:rPr>
              <w:t>C.</w:t>
            </w:r>
            <w:r>
              <w:rPr>
                <w:rFonts w:cstheme="minorBidi"/>
                <w:b w:val="0"/>
                <w:bCs w:val="0"/>
                <w:noProof/>
                <w:color w:val="auto"/>
                <w:sz w:val="22"/>
                <w:szCs w:val="22"/>
                <w:lang w:val="fr-BE" w:eastAsia="fr-BE"/>
              </w:rPr>
              <w:tab/>
            </w:r>
            <w:r w:rsidRPr="008E46F5">
              <w:rPr>
                <w:rStyle w:val="Lienhypertexte"/>
                <w:noProof/>
              </w:rPr>
              <w:t>Droit d</w:t>
            </w:r>
            <w:r w:rsidRPr="008E46F5">
              <w:rPr>
                <w:rStyle w:val="Lienhypertexte"/>
                <w:rFonts w:ascii="Times New Roman" w:hAnsi="Times New Roman" w:cs="Times New Roman"/>
                <w:noProof/>
              </w:rPr>
              <w:t>’</w:t>
            </w:r>
            <w:r w:rsidRPr="008E46F5">
              <w:rPr>
                <w:rStyle w:val="Lienhypertexte"/>
                <w:noProof/>
              </w:rPr>
              <w:t>acc</w:t>
            </w:r>
            <w:r w:rsidRPr="008E46F5">
              <w:rPr>
                <w:rStyle w:val="Lienhypertexte"/>
                <w:rFonts w:eastAsia="PMingLiU-ExtB" w:cs="PMingLiU-ExtB"/>
                <w:noProof/>
              </w:rPr>
              <w:t>è</w:t>
            </w:r>
            <w:r w:rsidRPr="008E46F5">
              <w:rPr>
                <w:rStyle w:val="Lienhypertexte"/>
                <w:noProof/>
              </w:rPr>
              <w:t>s aux lieux et b</w:t>
            </w:r>
            <w:r w:rsidRPr="008E46F5">
              <w:rPr>
                <w:rStyle w:val="Lienhypertexte"/>
                <w:rFonts w:eastAsia="PMingLiU-ExtB" w:cs="PMingLiU-ExtB"/>
                <w:noProof/>
              </w:rPr>
              <w:t>â</w:t>
            </w:r>
            <w:r w:rsidRPr="008E46F5">
              <w:rPr>
                <w:rStyle w:val="Lienhypertexte"/>
                <w:noProof/>
              </w:rPr>
              <w:t>timents priv</w:t>
            </w:r>
            <w:r w:rsidRPr="008E46F5">
              <w:rPr>
                <w:rStyle w:val="Lienhypertexte"/>
                <w:rFonts w:eastAsia="PMingLiU-ExtB" w:cs="PMingLiU-ExtB"/>
                <w:noProof/>
              </w:rPr>
              <w:t>é</w:t>
            </w:r>
            <w:r w:rsidRPr="008E46F5">
              <w:rPr>
                <w:rStyle w:val="Lienhypertexte"/>
                <w:noProof/>
              </w:rPr>
              <w:t>s</w:t>
            </w:r>
            <w:r>
              <w:rPr>
                <w:noProof/>
                <w:webHidden/>
              </w:rPr>
              <w:tab/>
            </w:r>
            <w:r>
              <w:rPr>
                <w:noProof/>
                <w:webHidden/>
              </w:rPr>
              <w:fldChar w:fldCharType="begin"/>
            </w:r>
            <w:r>
              <w:rPr>
                <w:noProof/>
                <w:webHidden/>
              </w:rPr>
              <w:instrText xml:space="preserve"> PAGEREF _Toc56426898 \h </w:instrText>
            </w:r>
            <w:r>
              <w:rPr>
                <w:noProof/>
                <w:webHidden/>
              </w:rPr>
            </w:r>
            <w:r>
              <w:rPr>
                <w:noProof/>
                <w:webHidden/>
              </w:rPr>
              <w:fldChar w:fldCharType="separate"/>
            </w:r>
            <w:r w:rsidR="00B254CB">
              <w:rPr>
                <w:noProof/>
                <w:webHidden/>
              </w:rPr>
              <w:t>5</w:t>
            </w:r>
            <w:r>
              <w:rPr>
                <w:noProof/>
                <w:webHidden/>
              </w:rPr>
              <w:fldChar w:fldCharType="end"/>
            </w:r>
          </w:hyperlink>
        </w:p>
        <w:p w14:paraId="47E4D30D"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899" w:history="1">
            <w:r w:rsidRPr="008E46F5">
              <w:rPr>
                <w:rStyle w:val="Lienhypertexte"/>
                <w:noProof/>
              </w:rPr>
              <w:t>D.</w:t>
            </w:r>
            <w:r>
              <w:rPr>
                <w:rFonts w:cstheme="minorBidi"/>
                <w:b w:val="0"/>
                <w:bCs w:val="0"/>
                <w:noProof/>
                <w:color w:val="auto"/>
                <w:sz w:val="22"/>
                <w:szCs w:val="22"/>
                <w:lang w:val="fr-BE" w:eastAsia="fr-BE"/>
              </w:rPr>
              <w:tab/>
            </w:r>
            <w:r w:rsidRPr="008E46F5">
              <w:rPr>
                <w:rStyle w:val="Lienhypertexte"/>
                <w:noProof/>
              </w:rPr>
              <w:t>Circulaire ministérielle OOP41</w:t>
            </w:r>
            <w:r w:rsidRPr="008E46F5">
              <w:rPr>
                <w:rStyle w:val="Lienhypertexte"/>
                <w:rFonts w:ascii="ZWAdobeF" w:hAnsi="ZWAdobeF" w:cs="ZWAdobeF"/>
                <w:noProof/>
              </w:rPr>
              <w:t>0F</w:t>
            </w:r>
            <w:r>
              <w:rPr>
                <w:noProof/>
                <w:webHidden/>
              </w:rPr>
              <w:tab/>
            </w:r>
            <w:r>
              <w:rPr>
                <w:noProof/>
                <w:webHidden/>
              </w:rPr>
              <w:fldChar w:fldCharType="begin"/>
            </w:r>
            <w:r>
              <w:rPr>
                <w:noProof/>
                <w:webHidden/>
              </w:rPr>
              <w:instrText xml:space="preserve"> PAGEREF _Toc56426899 \h </w:instrText>
            </w:r>
            <w:r>
              <w:rPr>
                <w:noProof/>
                <w:webHidden/>
              </w:rPr>
            </w:r>
            <w:r>
              <w:rPr>
                <w:noProof/>
                <w:webHidden/>
              </w:rPr>
              <w:fldChar w:fldCharType="separate"/>
            </w:r>
            <w:r w:rsidR="00B254CB">
              <w:rPr>
                <w:noProof/>
                <w:webHidden/>
              </w:rPr>
              <w:t>5</w:t>
            </w:r>
            <w:r>
              <w:rPr>
                <w:noProof/>
                <w:webHidden/>
              </w:rPr>
              <w:fldChar w:fldCharType="end"/>
            </w:r>
          </w:hyperlink>
        </w:p>
        <w:p w14:paraId="30818792" w14:textId="77777777" w:rsidR="0063032F" w:rsidRDefault="0063032F">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hyperlink w:anchor="_Toc56426900" w:history="1">
            <w:r w:rsidRPr="008E46F5">
              <w:rPr>
                <w:rStyle w:val="Lienhypertexte"/>
                <w:noProof/>
              </w:rPr>
              <w:t>3.</w:t>
            </w:r>
            <w:r>
              <w:rPr>
                <w:rFonts w:asciiTheme="minorHAnsi" w:hAnsiTheme="minorHAnsi" w:cstheme="minorBidi"/>
                <w:b w:val="0"/>
                <w:bCs w:val="0"/>
                <w:caps w:val="0"/>
                <w:noProof/>
                <w:color w:val="auto"/>
                <w:sz w:val="22"/>
                <w:szCs w:val="22"/>
                <w:lang w:val="fr-BE" w:eastAsia="fr-BE"/>
              </w:rPr>
              <w:tab/>
            </w:r>
            <w:r w:rsidRPr="008E46F5">
              <w:rPr>
                <w:rStyle w:val="Lienhypertexte"/>
                <w:noProof/>
              </w:rPr>
              <w:t>Processus</w:t>
            </w:r>
            <w:r>
              <w:rPr>
                <w:noProof/>
                <w:webHidden/>
              </w:rPr>
              <w:tab/>
            </w:r>
            <w:r>
              <w:rPr>
                <w:noProof/>
                <w:webHidden/>
              </w:rPr>
              <w:fldChar w:fldCharType="begin"/>
            </w:r>
            <w:r>
              <w:rPr>
                <w:noProof/>
                <w:webHidden/>
              </w:rPr>
              <w:instrText xml:space="preserve"> PAGEREF _Toc56426900 \h </w:instrText>
            </w:r>
            <w:r>
              <w:rPr>
                <w:noProof/>
                <w:webHidden/>
              </w:rPr>
            </w:r>
            <w:r>
              <w:rPr>
                <w:noProof/>
                <w:webHidden/>
              </w:rPr>
              <w:fldChar w:fldCharType="separate"/>
            </w:r>
            <w:r w:rsidR="00B254CB">
              <w:rPr>
                <w:noProof/>
                <w:webHidden/>
              </w:rPr>
              <w:t>7</w:t>
            </w:r>
            <w:r>
              <w:rPr>
                <w:noProof/>
                <w:webHidden/>
              </w:rPr>
              <w:fldChar w:fldCharType="end"/>
            </w:r>
          </w:hyperlink>
        </w:p>
        <w:p w14:paraId="743AAA74"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01" w:history="1">
            <w:r w:rsidRPr="008E46F5">
              <w:rPr>
                <w:rStyle w:val="Lienhypertexte"/>
                <w:noProof/>
                <w14:scene3d>
                  <w14:camera w14:prst="orthographicFront"/>
                  <w14:lightRig w14:rig="threePt" w14:dir="t">
                    <w14:rot w14:lat="0" w14:lon="0" w14:rev="0"/>
                  </w14:lightRig>
                </w14:scene3d>
              </w:rPr>
              <w:t>A.</w:t>
            </w:r>
            <w:r>
              <w:rPr>
                <w:rFonts w:cstheme="minorBidi"/>
                <w:b w:val="0"/>
                <w:bCs w:val="0"/>
                <w:noProof/>
                <w:color w:val="auto"/>
                <w:sz w:val="22"/>
                <w:szCs w:val="22"/>
                <w:lang w:val="fr-BE" w:eastAsia="fr-BE"/>
              </w:rPr>
              <w:tab/>
            </w:r>
            <w:r w:rsidRPr="008E46F5">
              <w:rPr>
                <w:rStyle w:val="Lienhypertexte"/>
                <w:noProof/>
              </w:rPr>
              <w:t>Information aux organisateurs</w:t>
            </w:r>
            <w:r>
              <w:rPr>
                <w:noProof/>
                <w:webHidden/>
              </w:rPr>
              <w:tab/>
            </w:r>
            <w:r>
              <w:rPr>
                <w:noProof/>
                <w:webHidden/>
              </w:rPr>
              <w:fldChar w:fldCharType="begin"/>
            </w:r>
            <w:r>
              <w:rPr>
                <w:noProof/>
                <w:webHidden/>
              </w:rPr>
              <w:instrText xml:space="preserve"> PAGEREF _Toc56426901 \h </w:instrText>
            </w:r>
            <w:r>
              <w:rPr>
                <w:noProof/>
                <w:webHidden/>
              </w:rPr>
            </w:r>
            <w:r>
              <w:rPr>
                <w:noProof/>
                <w:webHidden/>
              </w:rPr>
              <w:fldChar w:fldCharType="separate"/>
            </w:r>
            <w:r w:rsidR="00B254CB">
              <w:rPr>
                <w:noProof/>
                <w:webHidden/>
              </w:rPr>
              <w:t>7</w:t>
            </w:r>
            <w:r>
              <w:rPr>
                <w:noProof/>
                <w:webHidden/>
              </w:rPr>
              <w:fldChar w:fldCharType="end"/>
            </w:r>
          </w:hyperlink>
        </w:p>
        <w:p w14:paraId="09AA09BF"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02" w:history="1">
            <w:r w:rsidRPr="008E46F5">
              <w:rPr>
                <w:rStyle w:val="Lienhypertexte"/>
                <w:noProof/>
                <w14:scene3d>
                  <w14:camera w14:prst="orthographicFront"/>
                  <w14:lightRig w14:rig="threePt" w14:dir="t">
                    <w14:rot w14:lat="0" w14:lon="0" w14:rev="0"/>
                  </w14:lightRig>
                </w14:scene3d>
              </w:rPr>
              <w:t>B.</w:t>
            </w:r>
            <w:r>
              <w:rPr>
                <w:rFonts w:cstheme="minorBidi"/>
                <w:b w:val="0"/>
                <w:bCs w:val="0"/>
                <w:noProof/>
                <w:color w:val="auto"/>
                <w:sz w:val="22"/>
                <w:szCs w:val="22"/>
                <w:lang w:val="fr-BE" w:eastAsia="fr-BE"/>
              </w:rPr>
              <w:tab/>
            </w:r>
            <w:r w:rsidRPr="008E46F5">
              <w:rPr>
                <w:rStyle w:val="Lienhypertexte"/>
                <w:noProof/>
              </w:rPr>
              <w:t>Information aux administrations communales et provinciales</w:t>
            </w:r>
            <w:r>
              <w:rPr>
                <w:noProof/>
                <w:webHidden/>
              </w:rPr>
              <w:tab/>
            </w:r>
            <w:r>
              <w:rPr>
                <w:noProof/>
                <w:webHidden/>
              </w:rPr>
              <w:fldChar w:fldCharType="begin"/>
            </w:r>
            <w:r>
              <w:rPr>
                <w:noProof/>
                <w:webHidden/>
              </w:rPr>
              <w:instrText xml:space="preserve"> PAGEREF _Toc56426902 \h </w:instrText>
            </w:r>
            <w:r>
              <w:rPr>
                <w:noProof/>
                <w:webHidden/>
              </w:rPr>
            </w:r>
            <w:r>
              <w:rPr>
                <w:noProof/>
                <w:webHidden/>
              </w:rPr>
              <w:fldChar w:fldCharType="separate"/>
            </w:r>
            <w:r w:rsidR="00B254CB">
              <w:rPr>
                <w:noProof/>
                <w:webHidden/>
              </w:rPr>
              <w:t>7</w:t>
            </w:r>
            <w:r>
              <w:rPr>
                <w:noProof/>
                <w:webHidden/>
              </w:rPr>
              <w:fldChar w:fldCharType="end"/>
            </w:r>
          </w:hyperlink>
        </w:p>
        <w:p w14:paraId="5B44A38D" w14:textId="77777777" w:rsidR="0063032F" w:rsidRDefault="0063032F">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hyperlink w:anchor="_Toc56426903" w:history="1">
            <w:r w:rsidRPr="008E46F5">
              <w:rPr>
                <w:rStyle w:val="Lienhypertexte"/>
                <w:noProof/>
              </w:rPr>
              <w:t>4.</w:t>
            </w:r>
            <w:r>
              <w:rPr>
                <w:rFonts w:asciiTheme="minorHAnsi" w:hAnsiTheme="minorHAnsi" w:cstheme="minorBidi"/>
                <w:b w:val="0"/>
                <w:bCs w:val="0"/>
                <w:caps w:val="0"/>
                <w:noProof/>
                <w:color w:val="auto"/>
                <w:sz w:val="22"/>
                <w:szCs w:val="22"/>
                <w:lang w:val="fr-BE" w:eastAsia="fr-BE"/>
              </w:rPr>
              <w:tab/>
            </w:r>
            <w:r w:rsidRPr="008E46F5">
              <w:rPr>
                <w:rStyle w:val="Lienhypertexte"/>
                <w:noProof/>
              </w:rPr>
              <w:t>Procédure de contact, délais et forme de la demande</w:t>
            </w:r>
            <w:r>
              <w:rPr>
                <w:noProof/>
                <w:webHidden/>
              </w:rPr>
              <w:tab/>
            </w:r>
            <w:r>
              <w:rPr>
                <w:noProof/>
                <w:webHidden/>
              </w:rPr>
              <w:fldChar w:fldCharType="begin"/>
            </w:r>
            <w:r>
              <w:rPr>
                <w:noProof/>
                <w:webHidden/>
              </w:rPr>
              <w:instrText xml:space="preserve"> PAGEREF _Toc56426903 \h </w:instrText>
            </w:r>
            <w:r>
              <w:rPr>
                <w:noProof/>
                <w:webHidden/>
              </w:rPr>
            </w:r>
            <w:r>
              <w:rPr>
                <w:noProof/>
                <w:webHidden/>
              </w:rPr>
              <w:fldChar w:fldCharType="separate"/>
            </w:r>
            <w:r w:rsidR="00B254CB">
              <w:rPr>
                <w:noProof/>
                <w:webHidden/>
              </w:rPr>
              <w:t>8</w:t>
            </w:r>
            <w:r>
              <w:rPr>
                <w:noProof/>
                <w:webHidden/>
              </w:rPr>
              <w:fldChar w:fldCharType="end"/>
            </w:r>
          </w:hyperlink>
        </w:p>
        <w:p w14:paraId="734336C8"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04" w:history="1">
            <w:r w:rsidRPr="008E46F5">
              <w:rPr>
                <w:rStyle w:val="Lienhypertexte"/>
                <w:noProof/>
              </w:rPr>
              <w:t>A.</w:t>
            </w:r>
            <w:r>
              <w:rPr>
                <w:rFonts w:cstheme="minorBidi"/>
                <w:b w:val="0"/>
                <w:bCs w:val="0"/>
                <w:noProof/>
                <w:color w:val="auto"/>
                <w:sz w:val="22"/>
                <w:szCs w:val="22"/>
                <w:lang w:val="fr-BE" w:eastAsia="fr-BE"/>
              </w:rPr>
              <w:tab/>
            </w:r>
            <w:r w:rsidRPr="008E46F5">
              <w:rPr>
                <w:rStyle w:val="Lienhypertexte"/>
                <w:noProof/>
              </w:rPr>
              <w:t>Adresse de contact</w:t>
            </w:r>
            <w:r>
              <w:rPr>
                <w:noProof/>
                <w:webHidden/>
              </w:rPr>
              <w:tab/>
            </w:r>
            <w:r>
              <w:rPr>
                <w:noProof/>
                <w:webHidden/>
              </w:rPr>
              <w:fldChar w:fldCharType="begin"/>
            </w:r>
            <w:r>
              <w:rPr>
                <w:noProof/>
                <w:webHidden/>
              </w:rPr>
              <w:instrText xml:space="preserve"> PAGEREF _Toc56426904 \h </w:instrText>
            </w:r>
            <w:r>
              <w:rPr>
                <w:noProof/>
                <w:webHidden/>
              </w:rPr>
            </w:r>
            <w:r>
              <w:rPr>
                <w:noProof/>
                <w:webHidden/>
              </w:rPr>
              <w:fldChar w:fldCharType="separate"/>
            </w:r>
            <w:r w:rsidR="00B254CB">
              <w:rPr>
                <w:noProof/>
                <w:webHidden/>
              </w:rPr>
              <w:t>8</w:t>
            </w:r>
            <w:r>
              <w:rPr>
                <w:noProof/>
                <w:webHidden/>
              </w:rPr>
              <w:fldChar w:fldCharType="end"/>
            </w:r>
          </w:hyperlink>
        </w:p>
        <w:p w14:paraId="74997955"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05" w:history="1">
            <w:r w:rsidRPr="008E46F5">
              <w:rPr>
                <w:rStyle w:val="Lienhypertexte"/>
                <w:noProof/>
              </w:rPr>
              <w:t>B.</w:t>
            </w:r>
            <w:r>
              <w:rPr>
                <w:rFonts w:cstheme="minorBidi"/>
                <w:b w:val="0"/>
                <w:bCs w:val="0"/>
                <w:noProof/>
                <w:color w:val="auto"/>
                <w:sz w:val="22"/>
                <w:szCs w:val="22"/>
                <w:lang w:val="fr-BE" w:eastAsia="fr-BE"/>
              </w:rPr>
              <w:tab/>
            </w:r>
            <w:r w:rsidRPr="008E46F5">
              <w:rPr>
                <w:rStyle w:val="Lienhypertexte"/>
                <w:noProof/>
              </w:rPr>
              <w:t>Délais</w:t>
            </w:r>
            <w:r>
              <w:rPr>
                <w:noProof/>
                <w:webHidden/>
              </w:rPr>
              <w:tab/>
            </w:r>
            <w:r>
              <w:rPr>
                <w:noProof/>
                <w:webHidden/>
              </w:rPr>
              <w:fldChar w:fldCharType="begin"/>
            </w:r>
            <w:r>
              <w:rPr>
                <w:noProof/>
                <w:webHidden/>
              </w:rPr>
              <w:instrText xml:space="preserve"> PAGEREF _Toc56426905 \h </w:instrText>
            </w:r>
            <w:r>
              <w:rPr>
                <w:noProof/>
                <w:webHidden/>
              </w:rPr>
            </w:r>
            <w:r>
              <w:rPr>
                <w:noProof/>
                <w:webHidden/>
              </w:rPr>
              <w:fldChar w:fldCharType="separate"/>
            </w:r>
            <w:r w:rsidR="00B254CB">
              <w:rPr>
                <w:noProof/>
                <w:webHidden/>
              </w:rPr>
              <w:t>8</w:t>
            </w:r>
            <w:r>
              <w:rPr>
                <w:noProof/>
                <w:webHidden/>
              </w:rPr>
              <w:fldChar w:fldCharType="end"/>
            </w:r>
          </w:hyperlink>
        </w:p>
        <w:p w14:paraId="3ED0BAA0"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06" w:history="1">
            <w:r w:rsidRPr="008E46F5">
              <w:rPr>
                <w:rStyle w:val="Lienhypertexte"/>
                <w:noProof/>
              </w:rPr>
              <w:t>C.</w:t>
            </w:r>
            <w:r>
              <w:rPr>
                <w:rFonts w:cstheme="minorBidi"/>
                <w:b w:val="0"/>
                <w:bCs w:val="0"/>
                <w:noProof/>
                <w:color w:val="auto"/>
                <w:sz w:val="22"/>
                <w:szCs w:val="22"/>
                <w:lang w:val="fr-BE" w:eastAsia="fr-BE"/>
              </w:rPr>
              <w:tab/>
            </w:r>
            <w:r w:rsidRPr="008E46F5">
              <w:rPr>
                <w:rStyle w:val="Lienhypertexte"/>
                <w:noProof/>
              </w:rPr>
              <w:t>Contenu minimal de la demande</w:t>
            </w:r>
            <w:r>
              <w:rPr>
                <w:noProof/>
                <w:webHidden/>
              </w:rPr>
              <w:tab/>
            </w:r>
            <w:r>
              <w:rPr>
                <w:noProof/>
                <w:webHidden/>
              </w:rPr>
              <w:fldChar w:fldCharType="begin"/>
            </w:r>
            <w:r>
              <w:rPr>
                <w:noProof/>
                <w:webHidden/>
              </w:rPr>
              <w:instrText xml:space="preserve"> PAGEREF _Toc56426906 \h </w:instrText>
            </w:r>
            <w:r>
              <w:rPr>
                <w:noProof/>
                <w:webHidden/>
              </w:rPr>
            </w:r>
            <w:r>
              <w:rPr>
                <w:noProof/>
                <w:webHidden/>
              </w:rPr>
              <w:fldChar w:fldCharType="separate"/>
            </w:r>
            <w:r w:rsidR="00B254CB">
              <w:rPr>
                <w:noProof/>
                <w:webHidden/>
              </w:rPr>
              <w:t>8</w:t>
            </w:r>
            <w:r>
              <w:rPr>
                <w:noProof/>
                <w:webHidden/>
              </w:rPr>
              <w:fldChar w:fldCharType="end"/>
            </w:r>
          </w:hyperlink>
        </w:p>
        <w:p w14:paraId="689452A1" w14:textId="77777777" w:rsidR="0063032F" w:rsidRDefault="0063032F">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hyperlink w:anchor="_Toc56426907" w:history="1">
            <w:r w:rsidRPr="008E46F5">
              <w:rPr>
                <w:rStyle w:val="Lienhypertexte"/>
                <w:noProof/>
              </w:rPr>
              <w:t>5.</w:t>
            </w:r>
            <w:r>
              <w:rPr>
                <w:rFonts w:asciiTheme="minorHAnsi" w:hAnsiTheme="minorHAnsi" w:cstheme="minorBidi"/>
                <w:b w:val="0"/>
                <w:bCs w:val="0"/>
                <w:caps w:val="0"/>
                <w:noProof/>
                <w:color w:val="auto"/>
                <w:sz w:val="22"/>
                <w:szCs w:val="22"/>
                <w:lang w:val="fr-BE" w:eastAsia="fr-BE"/>
              </w:rPr>
              <w:tab/>
            </w:r>
            <w:r w:rsidRPr="008E46F5">
              <w:rPr>
                <w:rStyle w:val="Lienhypertexte"/>
                <w:noProof/>
              </w:rPr>
              <w:t>Prescriptions relatives au lieu de l’événement</w:t>
            </w:r>
            <w:r>
              <w:rPr>
                <w:noProof/>
                <w:webHidden/>
              </w:rPr>
              <w:tab/>
            </w:r>
            <w:r>
              <w:rPr>
                <w:noProof/>
                <w:webHidden/>
              </w:rPr>
              <w:fldChar w:fldCharType="begin"/>
            </w:r>
            <w:r>
              <w:rPr>
                <w:noProof/>
                <w:webHidden/>
              </w:rPr>
              <w:instrText xml:space="preserve"> PAGEREF _Toc56426907 \h </w:instrText>
            </w:r>
            <w:r>
              <w:rPr>
                <w:noProof/>
                <w:webHidden/>
              </w:rPr>
            </w:r>
            <w:r>
              <w:rPr>
                <w:noProof/>
                <w:webHidden/>
              </w:rPr>
              <w:fldChar w:fldCharType="separate"/>
            </w:r>
            <w:r w:rsidR="00B254CB">
              <w:rPr>
                <w:noProof/>
                <w:webHidden/>
              </w:rPr>
              <w:t>9</w:t>
            </w:r>
            <w:r>
              <w:rPr>
                <w:noProof/>
                <w:webHidden/>
              </w:rPr>
              <w:fldChar w:fldCharType="end"/>
            </w:r>
          </w:hyperlink>
        </w:p>
        <w:p w14:paraId="1D32E7C5"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08" w:history="1">
            <w:r w:rsidRPr="008E46F5">
              <w:rPr>
                <w:rStyle w:val="Lienhypertexte"/>
                <w:noProof/>
              </w:rPr>
              <w:t>A.</w:t>
            </w:r>
            <w:r>
              <w:rPr>
                <w:rFonts w:cstheme="minorBidi"/>
                <w:b w:val="0"/>
                <w:bCs w:val="0"/>
                <w:noProof/>
                <w:color w:val="auto"/>
                <w:sz w:val="22"/>
                <w:szCs w:val="22"/>
                <w:lang w:val="fr-BE" w:eastAsia="fr-BE"/>
              </w:rPr>
              <w:tab/>
            </w:r>
            <w:r w:rsidRPr="008E46F5">
              <w:rPr>
                <w:rStyle w:val="Lienhypertexte"/>
                <w:noProof/>
              </w:rPr>
              <w:t>Festivités en salle</w:t>
            </w:r>
            <w:r>
              <w:rPr>
                <w:noProof/>
                <w:webHidden/>
              </w:rPr>
              <w:tab/>
            </w:r>
            <w:r>
              <w:rPr>
                <w:noProof/>
                <w:webHidden/>
              </w:rPr>
              <w:fldChar w:fldCharType="begin"/>
            </w:r>
            <w:r>
              <w:rPr>
                <w:noProof/>
                <w:webHidden/>
              </w:rPr>
              <w:instrText xml:space="preserve"> PAGEREF _Toc56426908 \h </w:instrText>
            </w:r>
            <w:r>
              <w:rPr>
                <w:noProof/>
                <w:webHidden/>
              </w:rPr>
            </w:r>
            <w:r>
              <w:rPr>
                <w:noProof/>
                <w:webHidden/>
              </w:rPr>
              <w:fldChar w:fldCharType="separate"/>
            </w:r>
            <w:r w:rsidR="00B254CB">
              <w:rPr>
                <w:noProof/>
                <w:webHidden/>
              </w:rPr>
              <w:t>9</w:t>
            </w:r>
            <w:r>
              <w:rPr>
                <w:noProof/>
                <w:webHidden/>
              </w:rPr>
              <w:fldChar w:fldCharType="end"/>
            </w:r>
          </w:hyperlink>
        </w:p>
        <w:p w14:paraId="1C685D1D"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10" w:history="1">
            <w:r w:rsidRPr="008E46F5">
              <w:rPr>
                <w:rStyle w:val="Lienhypertexte"/>
                <w:noProof/>
              </w:rPr>
              <w:t>B.</w:t>
            </w:r>
            <w:r>
              <w:rPr>
                <w:rFonts w:cstheme="minorBidi"/>
                <w:b w:val="0"/>
                <w:bCs w:val="0"/>
                <w:noProof/>
                <w:color w:val="auto"/>
                <w:sz w:val="22"/>
                <w:szCs w:val="22"/>
                <w:lang w:val="fr-BE" w:eastAsia="fr-BE"/>
              </w:rPr>
              <w:tab/>
            </w:r>
            <w:r w:rsidRPr="008E46F5">
              <w:rPr>
                <w:rStyle w:val="Lienhypertexte"/>
                <w:noProof/>
              </w:rPr>
              <w:t>Chapiteaux, tonnelles</w:t>
            </w:r>
            <w:r>
              <w:rPr>
                <w:noProof/>
                <w:webHidden/>
              </w:rPr>
              <w:tab/>
            </w:r>
            <w:r>
              <w:rPr>
                <w:noProof/>
                <w:webHidden/>
              </w:rPr>
              <w:fldChar w:fldCharType="begin"/>
            </w:r>
            <w:r>
              <w:rPr>
                <w:noProof/>
                <w:webHidden/>
              </w:rPr>
              <w:instrText xml:space="preserve"> PAGEREF _Toc56426910 \h </w:instrText>
            </w:r>
            <w:r>
              <w:rPr>
                <w:noProof/>
                <w:webHidden/>
              </w:rPr>
            </w:r>
            <w:r>
              <w:rPr>
                <w:noProof/>
                <w:webHidden/>
              </w:rPr>
              <w:fldChar w:fldCharType="separate"/>
            </w:r>
            <w:r w:rsidR="00B254CB">
              <w:rPr>
                <w:noProof/>
                <w:webHidden/>
              </w:rPr>
              <w:t>10</w:t>
            </w:r>
            <w:r>
              <w:rPr>
                <w:noProof/>
                <w:webHidden/>
              </w:rPr>
              <w:fldChar w:fldCharType="end"/>
            </w:r>
          </w:hyperlink>
        </w:p>
        <w:p w14:paraId="1177B3A1"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16" w:history="1">
            <w:r w:rsidRPr="008E46F5">
              <w:rPr>
                <w:rStyle w:val="Lienhypertexte"/>
                <w:noProof/>
              </w:rPr>
              <w:t>C.</w:t>
            </w:r>
            <w:r>
              <w:rPr>
                <w:rFonts w:cstheme="minorBidi"/>
                <w:b w:val="0"/>
                <w:bCs w:val="0"/>
                <w:noProof/>
                <w:color w:val="auto"/>
                <w:sz w:val="22"/>
                <w:szCs w:val="22"/>
                <w:lang w:val="fr-BE" w:eastAsia="fr-BE"/>
              </w:rPr>
              <w:tab/>
            </w:r>
            <w:r w:rsidRPr="008E46F5">
              <w:rPr>
                <w:rStyle w:val="Lienhypertexte"/>
                <w:noProof/>
              </w:rPr>
              <w:t xml:space="preserve">Festivité sur la voie publique : brocante, marchés, </w:t>
            </w:r>
            <w:r w:rsidRPr="008E46F5">
              <w:rPr>
                <w:rStyle w:val="Lienhypertexte"/>
                <w:rFonts w:ascii="Times New Roman" w:hAnsi="Times New Roman" w:cs="Times New Roman"/>
                <w:noProof/>
              </w:rPr>
              <w:t>…</w:t>
            </w:r>
            <w:r>
              <w:rPr>
                <w:noProof/>
                <w:webHidden/>
              </w:rPr>
              <w:tab/>
            </w:r>
            <w:r>
              <w:rPr>
                <w:noProof/>
                <w:webHidden/>
              </w:rPr>
              <w:fldChar w:fldCharType="begin"/>
            </w:r>
            <w:r>
              <w:rPr>
                <w:noProof/>
                <w:webHidden/>
              </w:rPr>
              <w:instrText xml:space="preserve"> PAGEREF _Toc56426916 \h </w:instrText>
            </w:r>
            <w:r>
              <w:rPr>
                <w:noProof/>
                <w:webHidden/>
              </w:rPr>
            </w:r>
            <w:r>
              <w:rPr>
                <w:noProof/>
                <w:webHidden/>
              </w:rPr>
              <w:fldChar w:fldCharType="separate"/>
            </w:r>
            <w:r w:rsidR="00B254CB">
              <w:rPr>
                <w:noProof/>
                <w:webHidden/>
              </w:rPr>
              <w:t>12</w:t>
            </w:r>
            <w:r>
              <w:rPr>
                <w:noProof/>
                <w:webHidden/>
              </w:rPr>
              <w:fldChar w:fldCharType="end"/>
            </w:r>
          </w:hyperlink>
        </w:p>
        <w:p w14:paraId="3832DE90"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17" w:history="1">
            <w:r w:rsidRPr="008E46F5">
              <w:rPr>
                <w:rStyle w:val="Lienhypertexte"/>
                <w:noProof/>
              </w:rPr>
              <w:t>D.</w:t>
            </w:r>
            <w:r>
              <w:rPr>
                <w:rFonts w:cstheme="minorBidi"/>
                <w:b w:val="0"/>
                <w:bCs w:val="0"/>
                <w:noProof/>
                <w:color w:val="auto"/>
                <w:sz w:val="22"/>
                <w:szCs w:val="22"/>
                <w:lang w:val="fr-BE" w:eastAsia="fr-BE"/>
              </w:rPr>
              <w:tab/>
            </w:r>
            <w:r w:rsidRPr="008E46F5">
              <w:rPr>
                <w:rStyle w:val="Lienhypertexte"/>
                <w:noProof/>
              </w:rPr>
              <w:t>Activités à l</w:t>
            </w:r>
            <w:r w:rsidRPr="008E46F5">
              <w:rPr>
                <w:rStyle w:val="Lienhypertexte"/>
                <w:rFonts w:ascii="Times New Roman" w:hAnsi="Times New Roman" w:cs="Times New Roman"/>
                <w:noProof/>
              </w:rPr>
              <w:t>’</w:t>
            </w:r>
            <w:r w:rsidRPr="008E46F5">
              <w:rPr>
                <w:rStyle w:val="Lienhypertexte"/>
                <w:noProof/>
              </w:rPr>
              <w:t>ext</w:t>
            </w:r>
            <w:r w:rsidRPr="008E46F5">
              <w:rPr>
                <w:rStyle w:val="Lienhypertexte"/>
                <w:rFonts w:eastAsia="PMingLiU-ExtB" w:cs="PMingLiU-ExtB"/>
                <w:noProof/>
              </w:rPr>
              <w:t>é</w:t>
            </w:r>
            <w:r w:rsidRPr="008E46F5">
              <w:rPr>
                <w:rStyle w:val="Lienhypertexte"/>
                <w:noProof/>
              </w:rPr>
              <w:t>rieur</w:t>
            </w:r>
            <w:r>
              <w:rPr>
                <w:noProof/>
                <w:webHidden/>
              </w:rPr>
              <w:tab/>
            </w:r>
            <w:r>
              <w:rPr>
                <w:noProof/>
                <w:webHidden/>
              </w:rPr>
              <w:fldChar w:fldCharType="begin"/>
            </w:r>
            <w:r>
              <w:rPr>
                <w:noProof/>
                <w:webHidden/>
              </w:rPr>
              <w:instrText xml:space="preserve"> PAGEREF _Toc56426917 \h </w:instrText>
            </w:r>
            <w:r>
              <w:rPr>
                <w:noProof/>
                <w:webHidden/>
              </w:rPr>
            </w:r>
            <w:r>
              <w:rPr>
                <w:noProof/>
                <w:webHidden/>
              </w:rPr>
              <w:fldChar w:fldCharType="separate"/>
            </w:r>
            <w:r w:rsidR="00B254CB">
              <w:rPr>
                <w:noProof/>
                <w:webHidden/>
              </w:rPr>
              <w:t>13</w:t>
            </w:r>
            <w:r>
              <w:rPr>
                <w:noProof/>
                <w:webHidden/>
              </w:rPr>
              <w:fldChar w:fldCharType="end"/>
            </w:r>
          </w:hyperlink>
        </w:p>
        <w:p w14:paraId="12910133"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18" w:history="1">
            <w:r w:rsidRPr="008E46F5">
              <w:rPr>
                <w:rStyle w:val="Lienhypertexte"/>
                <w:noProof/>
              </w:rPr>
              <w:t>E.</w:t>
            </w:r>
            <w:r>
              <w:rPr>
                <w:rFonts w:cstheme="minorBidi"/>
                <w:b w:val="0"/>
                <w:bCs w:val="0"/>
                <w:noProof/>
                <w:color w:val="auto"/>
                <w:sz w:val="22"/>
                <w:szCs w:val="22"/>
                <w:lang w:val="fr-BE" w:eastAsia="fr-BE"/>
              </w:rPr>
              <w:tab/>
            </w:r>
            <w:r w:rsidRPr="008E46F5">
              <w:rPr>
                <w:rStyle w:val="Lienhypertexte"/>
                <w:noProof/>
              </w:rPr>
              <w:t>Festivité concernant un site très étendu</w:t>
            </w:r>
            <w:r>
              <w:rPr>
                <w:noProof/>
                <w:webHidden/>
              </w:rPr>
              <w:tab/>
            </w:r>
            <w:r>
              <w:rPr>
                <w:noProof/>
                <w:webHidden/>
              </w:rPr>
              <w:fldChar w:fldCharType="begin"/>
            </w:r>
            <w:r>
              <w:rPr>
                <w:noProof/>
                <w:webHidden/>
              </w:rPr>
              <w:instrText xml:space="preserve"> PAGEREF _Toc56426918 \h </w:instrText>
            </w:r>
            <w:r>
              <w:rPr>
                <w:noProof/>
                <w:webHidden/>
              </w:rPr>
            </w:r>
            <w:r>
              <w:rPr>
                <w:noProof/>
                <w:webHidden/>
              </w:rPr>
              <w:fldChar w:fldCharType="separate"/>
            </w:r>
            <w:r w:rsidR="00B254CB">
              <w:rPr>
                <w:noProof/>
                <w:webHidden/>
              </w:rPr>
              <w:t>13</w:t>
            </w:r>
            <w:r>
              <w:rPr>
                <w:noProof/>
                <w:webHidden/>
              </w:rPr>
              <w:fldChar w:fldCharType="end"/>
            </w:r>
          </w:hyperlink>
        </w:p>
        <w:p w14:paraId="5FE7AE8F" w14:textId="77777777" w:rsidR="0063032F" w:rsidRDefault="0063032F">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hyperlink w:anchor="_Toc56426919" w:history="1">
            <w:r w:rsidRPr="008E46F5">
              <w:rPr>
                <w:rStyle w:val="Lienhypertexte"/>
                <w:noProof/>
              </w:rPr>
              <w:t>6.</w:t>
            </w:r>
            <w:r>
              <w:rPr>
                <w:rFonts w:asciiTheme="minorHAnsi" w:hAnsiTheme="minorHAnsi" w:cstheme="minorBidi"/>
                <w:b w:val="0"/>
                <w:bCs w:val="0"/>
                <w:caps w:val="0"/>
                <w:noProof/>
                <w:color w:val="auto"/>
                <w:sz w:val="22"/>
                <w:szCs w:val="22"/>
                <w:lang w:val="fr-BE" w:eastAsia="fr-BE"/>
              </w:rPr>
              <w:tab/>
            </w:r>
            <w:r w:rsidRPr="008E46F5">
              <w:rPr>
                <w:rStyle w:val="Lienhypertexte"/>
                <w:noProof/>
              </w:rPr>
              <w:t>Prescriptions relatives aux activités organisées</w:t>
            </w:r>
            <w:r>
              <w:rPr>
                <w:noProof/>
                <w:webHidden/>
              </w:rPr>
              <w:tab/>
            </w:r>
            <w:r>
              <w:rPr>
                <w:noProof/>
                <w:webHidden/>
              </w:rPr>
              <w:fldChar w:fldCharType="begin"/>
            </w:r>
            <w:r>
              <w:rPr>
                <w:noProof/>
                <w:webHidden/>
              </w:rPr>
              <w:instrText xml:space="preserve"> PAGEREF _Toc56426919 \h </w:instrText>
            </w:r>
            <w:r>
              <w:rPr>
                <w:noProof/>
                <w:webHidden/>
              </w:rPr>
            </w:r>
            <w:r>
              <w:rPr>
                <w:noProof/>
                <w:webHidden/>
              </w:rPr>
              <w:fldChar w:fldCharType="separate"/>
            </w:r>
            <w:r w:rsidR="00B254CB">
              <w:rPr>
                <w:noProof/>
                <w:webHidden/>
              </w:rPr>
              <w:t>14</w:t>
            </w:r>
            <w:r>
              <w:rPr>
                <w:noProof/>
                <w:webHidden/>
              </w:rPr>
              <w:fldChar w:fldCharType="end"/>
            </w:r>
          </w:hyperlink>
        </w:p>
        <w:p w14:paraId="56208428"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20" w:history="1">
            <w:r w:rsidRPr="008E46F5">
              <w:rPr>
                <w:rStyle w:val="Lienhypertexte"/>
                <w:noProof/>
                <w14:scene3d>
                  <w14:camera w14:prst="orthographicFront"/>
                  <w14:lightRig w14:rig="threePt" w14:dir="t">
                    <w14:rot w14:lat="0" w14:lon="0" w14:rev="0"/>
                  </w14:lightRig>
                </w14:scene3d>
              </w:rPr>
              <w:t>A.</w:t>
            </w:r>
            <w:r>
              <w:rPr>
                <w:rFonts w:cstheme="minorBidi"/>
                <w:b w:val="0"/>
                <w:bCs w:val="0"/>
                <w:noProof/>
                <w:color w:val="auto"/>
                <w:sz w:val="22"/>
                <w:szCs w:val="22"/>
                <w:lang w:val="fr-BE" w:eastAsia="fr-BE"/>
              </w:rPr>
              <w:tab/>
            </w:r>
            <w:r w:rsidRPr="008E46F5">
              <w:rPr>
                <w:rStyle w:val="Lienhypertexte"/>
                <w:noProof/>
              </w:rPr>
              <w:t>Lâcher de lanternes célestes</w:t>
            </w:r>
            <w:r>
              <w:rPr>
                <w:noProof/>
                <w:webHidden/>
              </w:rPr>
              <w:tab/>
            </w:r>
            <w:r>
              <w:rPr>
                <w:noProof/>
                <w:webHidden/>
              </w:rPr>
              <w:fldChar w:fldCharType="begin"/>
            </w:r>
            <w:r>
              <w:rPr>
                <w:noProof/>
                <w:webHidden/>
              </w:rPr>
              <w:instrText xml:space="preserve"> PAGEREF _Toc56426920 \h </w:instrText>
            </w:r>
            <w:r>
              <w:rPr>
                <w:noProof/>
                <w:webHidden/>
              </w:rPr>
            </w:r>
            <w:r>
              <w:rPr>
                <w:noProof/>
                <w:webHidden/>
              </w:rPr>
              <w:fldChar w:fldCharType="separate"/>
            </w:r>
            <w:r w:rsidR="00B254CB">
              <w:rPr>
                <w:noProof/>
                <w:webHidden/>
              </w:rPr>
              <w:t>14</w:t>
            </w:r>
            <w:r>
              <w:rPr>
                <w:noProof/>
                <w:webHidden/>
              </w:rPr>
              <w:fldChar w:fldCharType="end"/>
            </w:r>
          </w:hyperlink>
        </w:p>
        <w:p w14:paraId="387AD510"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21" w:history="1">
            <w:r w:rsidRPr="008E46F5">
              <w:rPr>
                <w:rStyle w:val="Lienhypertexte"/>
                <w:noProof/>
                <w14:scene3d>
                  <w14:camera w14:prst="orthographicFront"/>
                  <w14:lightRig w14:rig="threePt" w14:dir="t">
                    <w14:rot w14:lat="0" w14:lon="0" w14:rev="0"/>
                  </w14:lightRig>
                </w14:scene3d>
              </w:rPr>
              <w:t>B.</w:t>
            </w:r>
            <w:r>
              <w:rPr>
                <w:rFonts w:cstheme="minorBidi"/>
                <w:b w:val="0"/>
                <w:bCs w:val="0"/>
                <w:noProof/>
                <w:color w:val="auto"/>
                <w:sz w:val="22"/>
                <w:szCs w:val="22"/>
                <w:lang w:val="fr-BE" w:eastAsia="fr-BE"/>
              </w:rPr>
              <w:tab/>
            </w:r>
            <w:r w:rsidRPr="008E46F5">
              <w:rPr>
                <w:rStyle w:val="Lienhypertexte"/>
                <w:noProof/>
              </w:rPr>
              <w:t>Envol de montgolfières</w:t>
            </w:r>
            <w:r>
              <w:rPr>
                <w:noProof/>
                <w:webHidden/>
              </w:rPr>
              <w:tab/>
            </w:r>
            <w:r>
              <w:rPr>
                <w:noProof/>
                <w:webHidden/>
              </w:rPr>
              <w:fldChar w:fldCharType="begin"/>
            </w:r>
            <w:r>
              <w:rPr>
                <w:noProof/>
                <w:webHidden/>
              </w:rPr>
              <w:instrText xml:space="preserve"> PAGEREF _Toc56426921 \h </w:instrText>
            </w:r>
            <w:r>
              <w:rPr>
                <w:noProof/>
                <w:webHidden/>
              </w:rPr>
            </w:r>
            <w:r>
              <w:rPr>
                <w:noProof/>
                <w:webHidden/>
              </w:rPr>
              <w:fldChar w:fldCharType="separate"/>
            </w:r>
            <w:r w:rsidR="00B254CB">
              <w:rPr>
                <w:noProof/>
                <w:webHidden/>
              </w:rPr>
              <w:t>15</w:t>
            </w:r>
            <w:r>
              <w:rPr>
                <w:noProof/>
                <w:webHidden/>
              </w:rPr>
              <w:fldChar w:fldCharType="end"/>
            </w:r>
          </w:hyperlink>
        </w:p>
        <w:p w14:paraId="5B4C9B2E"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22" w:history="1">
            <w:r w:rsidRPr="008E46F5">
              <w:rPr>
                <w:rStyle w:val="Lienhypertexte"/>
                <w:noProof/>
                <w14:scene3d>
                  <w14:camera w14:prst="orthographicFront"/>
                  <w14:lightRig w14:rig="threePt" w14:dir="t">
                    <w14:rot w14:lat="0" w14:lon="0" w14:rev="0"/>
                  </w14:lightRig>
                </w14:scene3d>
              </w:rPr>
              <w:t>C.</w:t>
            </w:r>
            <w:r>
              <w:rPr>
                <w:rFonts w:cstheme="minorBidi"/>
                <w:b w:val="0"/>
                <w:bCs w:val="0"/>
                <w:noProof/>
                <w:color w:val="auto"/>
                <w:sz w:val="22"/>
                <w:szCs w:val="22"/>
                <w:lang w:val="fr-BE" w:eastAsia="fr-BE"/>
              </w:rPr>
              <w:tab/>
            </w:r>
            <w:r w:rsidRPr="008E46F5">
              <w:rPr>
                <w:rStyle w:val="Lienhypertexte"/>
                <w:noProof/>
              </w:rPr>
              <w:t>Feux d</w:t>
            </w:r>
            <w:r w:rsidRPr="008E46F5">
              <w:rPr>
                <w:rStyle w:val="Lienhypertexte"/>
                <w:rFonts w:ascii="Times New Roman" w:hAnsi="Times New Roman" w:cs="Times New Roman"/>
                <w:noProof/>
              </w:rPr>
              <w:t>’</w:t>
            </w:r>
            <w:r w:rsidRPr="008E46F5">
              <w:rPr>
                <w:rStyle w:val="Lienhypertexte"/>
                <w:noProof/>
              </w:rPr>
              <w:t>artifice</w:t>
            </w:r>
            <w:r>
              <w:rPr>
                <w:noProof/>
                <w:webHidden/>
              </w:rPr>
              <w:tab/>
            </w:r>
            <w:r>
              <w:rPr>
                <w:noProof/>
                <w:webHidden/>
              </w:rPr>
              <w:fldChar w:fldCharType="begin"/>
            </w:r>
            <w:r>
              <w:rPr>
                <w:noProof/>
                <w:webHidden/>
              </w:rPr>
              <w:instrText xml:space="preserve"> PAGEREF _Toc56426922 \h </w:instrText>
            </w:r>
            <w:r>
              <w:rPr>
                <w:noProof/>
                <w:webHidden/>
              </w:rPr>
            </w:r>
            <w:r>
              <w:rPr>
                <w:noProof/>
                <w:webHidden/>
              </w:rPr>
              <w:fldChar w:fldCharType="separate"/>
            </w:r>
            <w:r w:rsidR="00B254CB">
              <w:rPr>
                <w:noProof/>
                <w:webHidden/>
              </w:rPr>
              <w:t>15</w:t>
            </w:r>
            <w:r>
              <w:rPr>
                <w:noProof/>
                <w:webHidden/>
              </w:rPr>
              <w:fldChar w:fldCharType="end"/>
            </w:r>
          </w:hyperlink>
        </w:p>
        <w:p w14:paraId="4910F80F"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25" w:history="1">
            <w:r w:rsidRPr="008E46F5">
              <w:rPr>
                <w:rStyle w:val="Lienhypertexte"/>
                <w:noProof/>
                <w14:scene3d>
                  <w14:camera w14:prst="orthographicFront"/>
                  <w14:lightRig w14:rig="threePt" w14:dir="t">
                    <w14:rot w14:lat="0" w14:lon="0" w14:rev="0"/>
                  </w14:lightRig>
                </w14:scene3d>
              </w:rPr>
              <w:t>D.</w:t>
            </w:r>
            <w:r>
              <w:rPr>
                <w:rFonts w:cstheme="minorBidi"/>
                <w:b w:val="0"/>
                <w:bCs w:val="0"/>
                <w:noProof/>
                <w:color w:val="auto"/>
                <w:sz w:val="22"/>
                <w:szCs w:val="22"/>
                <w:lang w:val="fr-BE" w:eastAsia="fr-BE"/>
              </w:rPr>
              <w:tab/>
            </w:r>
            <w:r w:rsidRPr="008E46F5">
              <w:rPr>
                <w:rStyle w:val="Lienhypertexte"/>
                <w:noProof/>
              </w:rPr>
              <w:t>Boire et manger</w:t>
            </w:r>
            <w:r>
              <w:rPr>
                <w:noProof/>
                <w:webHidden/>
              </w:rPr>
              <w:tab/>
            </w:r>
            <w:r>
              <w:rPr>
                <w:noProof/>
                <w:webHidden/>
              </w:rPr>
              <w:fldChar w:fldCharType="begin"/>
            </w:r>
            <w:r>
              <w:rPr>
                <w:noProof/>
                <w:webHidden/>
              </w:rPr>
              <w:instrText xml:space="preserve"> PAGEREF _Toc56426925 \h </w:instrText>
            </w:r>
            <w:r>
              <w:rPr>
                <w:noProof/>
                <w:webHidden/>
              </w:rPr>
            </w:r>
            <w:r>
              <w:rPr>
                <w:noProof/>
                <w:webHidden/>
              </w:rPr>
              <w:fldChar w:fldCharType="separate"/>
            </w:r>
            <w:r w:rsidR="00B254CB">
              <w:rPr>
                <w:noProof/>
                <w:webHidden/>
              </w:rPr>
              <w:t>17</w:t>
            </w:r>
            <w:r>
              <w:rPr>
                <w:noProof/>
                <w:webHidden/>
              </w:rPr>
              <w:fldChar w:fldCharType="end"/>
            </w:r>
          </w:hyperlink>
        </w:p>
        <w:p w14:paraId="2B093E1A"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26" w:history="1">
            <w:r w:rsidRPr="008E46F5">
              <w:rPr>
                <w:rStyle w:val="Lienhypertexte"/>
                <w:noProof/>
                <w14:scene3d>
                  <w14:camera w14:prst="orthographicFront"/>
                  <w14:lightRig w14:rig="threePt" w14:dir="t">
                    <w14:rot w14:lat="0" w14:lon="0" w14:rev="0"/>
                  </w14:lightRig>
                </w14:scene3d>
              </w:rPr>
              <w:t>E.</w:t>
            </w:r>
            <w:r>
              <w:rPr>
                <w:rFonts w:cstheme="minorBidi"/>
                <w:b w:val="0"/>
                <w:bCs w:val="0"/>
                <w:noProof/>
                <w:color w:val="auto"/>
                <w:sz w:val="22"/>
                <w:szCs w:val="22"/>
                <w:lang w:val="fr-BE" w:eastAsia="fr-BE"/>
              </w:rPr>
              <w:tab/>
            </w:r>
            <w:r w:rsidRPr="008E46F5">
              <w:rPr>
                <w:rStyle w:val="Lienhypertexte"/>
                <w:noProof/>
              </w:rPr>
              <w:t>Brûlage de bosses et feux festifs</w:t>
            </w:r>
            <w:r>
              <w:rPr>
                <w:noProof/>
                <w:webHidden/>
              </w:rPr>
              <w:tab/>
            </w:r>
            <w:r>
              <w:rPr>
                <w:noProof/>
                <w:webHidden/>
              </w:rPr>
              <w:fldChar w:fldCharType="begin"/>
            </w:r>
            <w:r>
              <w:rPr>
                <w:noProof/>
                <w:webHidden/>
              </w:rPr>
              <w:instrText xml:space="preserve"> PAGEREF _Toc56426926 \h </w:instrText>
            </w:r>
            <w:r>
              <w:rPr>
                <w:noProof/>
                <w:webHidden/>
              </w:rPr>
            </w:r>
            <w:r>
              <w:rPr>
                <w:noProof/>
                <w:webHidden/>
              </w:rPr>
              <w:fldChar w:fldCharType="separate"/>
            </w:r>
            <w:r w:rsidR="00B254CB">
              <w:rPr>
                <w:noProof/>
                <w:webHidden/>
              </w:rPr>
              <w:t>19</w:t>
            </w:r>
            <w:r>
              <w:rPr>
                <w:noProof/>
                <w:webHidden/>
              </w:rPr>
              <w:fldChar w:fldCharType="end"/>
            </w:r>
          </w:hyperlink>
        </w:p>
        <w:p w14:paraId="1CA03F71"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27" w:history="1">
            <w:r w:rsidRPr="008E46F5">
              <w:rPr>
                <w:rStyle w:val="Lienhypertexte"/>
                <w:noProof/>
                <w14:scene3d>
                  <w14:camera w14:prst="orthographicFront"/>
                  <w14:lightRig w14:rig="threePt" w14:dir="t">
                    <w14:rot w14:lat="0" w14:lon="0" w14:rev="0"/>
                  </w14:lightRig>
                </w14:scene3d>
              </w:rPr>
              <w:t>G.</w:t>
            </w:r>
            <w:r>
              <w:rPr>
                <w:rFonts w:cstheme="minorBidi"/>
                <w:b w:val="0"/>
                <w:bCs w:val="0"/>
                <w:noProof/>
                <w:color w:val="auto"/>
                <w:sz w:val="22"/>
                <w:szCs w:val="22"/>
                <w:lang w:val="fr-BE" w:eastAsia="fr-BE"/>
              </w:rPr>
              <w:tab/>
            </w:r>
            <w:r w:rsidRPr="008E46F5">
              <w:rPr>
                <w:rStyle w:val="Lienhypertexte"/>
                <w:noProof/>
              </w:rPr>
              <w:t>Meeting aérien</w:t>
            </w:r>
            <w:r>
              <w:rPr>
                <w:noProof/>
                <w:webHidden/>
              </w:rPr>
              <w:tab/>
            </w:r>
            <w:r>
              <w:rPr>
                <w:noProof/>
                <w:webHidden/>
              </w:rPr>
              <w:fldChar w:fldCharType="begin"/>
            </w:r>
            <w:r>
              <w:rPr>
                <w:noProof/>
                <w:webHidden/>
              </w:rPr>
              <w:instrText xml:space="preserve"> PAGEREF _Toc56426927 \h </w:instrText>
            </w:r>
            <w:r>
              <w:rPr>
                <w:noProof/>
                <w:webHidden/>
              </w:rPr>
            </w:r>
            <w:r>
              <w:rPr>
                <w:noProof/>
                <w:webHidden/>
              </w:rPr>
              <w:fldChar w:fldCharType="separate"/>
            </w:r>
            <w:r w:rsidR="00B254CB">
              <w:rPr>
                <w:noProof/>
                <w:webHidden/>
              </w:rPr>
              <w:t>20</w:t>
            </w:r>
            <w:r>
              <w:rPr>
                <w:noProof/>
                <w:webHidden/>
              </w:rPr>
              <w:fldChar w:fldCharType="end"/>
            </w:r>
          </w:hyperlink>
        </w:p>
        <w:p w14:paraId="4AAE9D47"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28" w:history="1">
            <w:r w:rsidRPr="008E46F5">
              <w:rPr>
                <w:rStyle w:val="Lienhypertexte"/>
                <w:noProof/>
                <w14:scene3d>
                  <w14:camera w14:prst="orthographicFront"/>
                  <w14:lightRig w14:rig="threePt" w14:dir="t">
                    <w14:rot w14:lat="0" w14:lon="0" w14:rev="0"/>
                  </w14:lightRig>
                </w14:scene3d>
              </w:rPr>
              <w:t>F.</w:t>
            </w:r>
            <w:r>
              <w:rPr>
                <w:rFonts w:cstheme="minorBidi"/>
                <w:b w:val="0"/>
                <w:bCs w:val="0"/>
                <w:noProof/>
                <w:color w:val="auto"/>
                <w:sz w:val="22"/>
                <w:szCs w:val="22"/>
                <w:lang w:val="fr-BE" w:eastAsia="fr-BE"/>
              </w:rPr>
              <w:tab/>
            </w:r>
            <w:r w:rsidRPr="008E46F5">
              <w:rPr>
                <w:rStyle w:val="Lienhypertexte"/>
                <w:noProof/>
              </w:rPr>
              <w:t>Sports moteurs</w:t>
            </w:r>
            <w:r>
              <w:rPr>
                <w:noProof/>
                <w:webHidden/>
              </w:rPr>
              <w:tab/>
            </w:r>
            <w:r>
              <w:rPr>
                <w:noProof/>
                <w:webHidden/>
              </w:rPr>
              <w:fldChar w:fldCharType="begin"/>
            </w:r>
            <w:r>
              <w:rPr>
                <w:noProof/>
                <w:webHidden/>
              </w:rPr>
              <w:instrText xml:space="preserve"> PAGEREF _Toc56426928 \h </w:instrText>
            </w:r>
            <w:r>
              <w:rPr>
                <w:noProof/>
                <w:webHidden/>
              </w:rPr>
            </w:r>
            <w:r>
              <w:rPr>
                <w:noProof/>
                <w:webHidden/>
              </w:rPr>
              <w:fldChar w:fldCharType="separate"/>
            </w:r>
            <w:r w:rsidR="00B254CB">
              <w:rPr>
                <w:noProof/>
                <w:webHidden/>
              </w:rPr>
              <w:t>20</w:t>
            </w:r>
            <w:r>
              <w:rPr>
                <w:noProof/>
                <w:webHidden/>
              </w:rPr>
              <w:fldChar w:fldCharType="end"/>
            </w:r>
          </w:hyperlink>
        </w:p>
        <w:p w14:paraId="27D494B8" w14:textId="77777777" w:rsidR="0063032F" w:rsidRDefault="0063032F">
          <w:pPr>
            <w:pStyle w:val="TM3"/>
            <w:tabs>
              <w:tab w:val="right" w:leader="dot" w:pos="10610"/>
            </w:tabs>
            <w:rPr>
              <w:rFonts w:cstheme="minorBidi"/>
              <w:noProof/>
              <w:color w:val="auto"/>
              <w:sz w:val="22"/>
              <w:szCs w:val="22"/>
              <w:lang w:val="fr-BE" w:eastAsia="fr-BE"/>
            </w:rPr>
          </w:pPr>
          <w:hyperlink w:anchor="_Toc56426929" w:history="1">
            <w:r w:rsidRPr="008E46F5">
              <w:rPr>
                <w:rStyle w:val="Lienhypertexte"/>
                <w:noProof/>
              </w:rPr>
              <w:t>Rallye automobile et moto</w:t>
            </w:r>
            <w:r>
              <w:rPr>
                <w:noProof/>
                <w:webHidden/>
              </w:rPr>
              <w:tab/>
            </w:r>
            <w:r>
              <w:rPr>
                <w:noProof/>
                <w:webHidden/>
              </w:rPr>
              <w:fldChar w:fldCharType="begin"/>
            </w:r>
            <w:r>
              <w:rPr>
                <w:noProof/>
                <w:webHidden/>
              </w:rPr>
              <w:instrText xml:space="preserve"> PAGEREF _Toc56426929 \h </w:instrText>
            </w:r>
            <w:r>
              <w:rPr>
                <w:noProof/>
                <w:webHidden/>
              </w:rPr>
            </w:r>
            <w:r>
              <w:rPr>
                <w:noProof/>
                <w:webHidden/>
              </w:rPr>
              <w:fldChar w:fldCharType="separate"/>
            </w:r>
            <w:r w:rsidR="00B254CB">
              <w:rPr>
                <w:noProof/>
                <w:webHidden/>
              </w:rPr>
              <w:t>20</w:t>
            </w:r>
            <w:r>
              <w:rPr>
                <w:noProof/>
                <w:webHidden/>
              </w:rPr>
              <w:fldChar w:fldCharType="end"/>
            </w:r>
          </w:hyperlink>
        </w:p>
        <w:p w14:paraId="215A2E36" w14:textId="77777777" w:rsidR="0063032F" w:rsidRDefault="0063032F">
          <w:pPr>
            <w:pStyle w:val="TM3"/>
            <w:tabs>
              <w:tab w:val="right" w:leader="dot" w:pos="10610"/>
            </w:tabs>
            <w:rPr>
              <w:rFonts w:cstheme="minorBidi"/>
              <w:noProof/>
              <w:color w:val="auto"/>
              <w:sz w:val="22"/>
              <w:szCs w:val="22"/>
              <w:lang w:val="fr-BE" w:eastAsia="fr-BE"/>
            </w:rPr>
          </w:pPr>
          <w:hyperlink w:anchor="_Toc56426930" w:history="1">
            <w:r w:rsidRPr="008E46F5">
              <w:rPr>
                <w:rStyle w:val="Lienhypertexte"/>
                <w:noProof/>
              </w:rPr>
              <w:t>Autres que rallye automobile et moto</w:t>
            </w:r>
            <w:r>
              <w:rPr>
                <w:noProof/>
                <w:webHidden/>
              </w:rPr>
              <w:tab/>
            </w:r>
            <w:r>
              <w:rPr>
                <w:noProof/>
                <w:webHidden/>
              </w:rPr>
              <w:fldChar w:fldCharType="begin"/>
            </w:r>
            <w:r>
              <w:rPr>
                <w:noProof/>
                <w:webHidden/>
              </w:rPr>
              <w:instrText xml:space="preserve"> PAGEREF _Toc56426930 \h </w:instrText>
            </w:r>
            <w:r>
              <w:rPr>
                <w:noProof/>
                <w:webHidden/>
              </w:rPr>
            </w:r>
            <w:r>
              <w:rPr>
                <w:noProof/>
                <w:webHidden/>
              </w:rPr>
              <w:fldChar w:fldCharType="separate"/>
            </w:r>
            <w:r w:rsidR="00B254CB">
              <w:rPr>
                <w:noProof/>
                <w:webHidden/>
              </w:rPr>
              <w:t>20</w:t>
            </w:r>
            <w:r>
              <w:rPr>
                <w:noProof/>
                <w:webHidden/>
              </w:rPr>
              <w:fldChar w:fldCharType="end"/>
            </w:r>
          </w:hyperlink>
        </w:p>
        <w:p w14:paraId="1BAB9F84"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31" w:history="1">
            <w:r w:rsidRPr="008E46F5">
              <w:rPr>
                <w:rStyle w:val="Lienhypertexte"/>
                <w:noProof/>
                <w14:scene3d>
                  <w14:camera w14:prst="orthographicFront"/>
                  <w14:lightRig w14:rig="threePt" w14:dir="t">
                    <w14:rot w14:lat="0" w14:lon="0" w14:rev="0"/>
                  </w14:lightRig>
                </w14:scene3d>
              </w:rPr>
              <w:t>H.</w:t>
            </w:r>
            <w:r>
              <w:rPr>
                <w:rFonts w:cstheme="minorBidi"/>
                <w:b w:val="0"/>
                <w:bCs w:val="0"/>
                <w:noProof/>
                <w:color w:val="auto"/>
                <w:sz w:val="22"/>
                <w:szCs w:val="22"/>
                <w:lang w:val="fr-BE" w:eastAsia="fr-BE"/>
              </w:rPr>
              <w:tab/>
            </w:r>
            <w:r w:rsidRPr="008E46F5">
              <w:rPr>
                <w:rStyle w:val="Lienhypertexte"/>
                <w:noProof/>
              </w:rPr>
              <w:t>Utilisation de poudre noire</w:t>
            </w:r>
            <w:r>
              <w:rPr>
                <w:noProof/>
                <w:webHidden/>
              </w:rPr>
              <w:tab/>
            </w:r>
            <w:r>
              <w:rPr>
                <w:noProof/>
                <w:webHidden/>
              </w:rPr>
              <w:fldChar w:fldCharType="begin"/>
            </w:r>
            <w:r>
              <w:rPr>
                <w:noProof/>
                <w:webHidden/>
              </w:rPr>
              <w:instrText xml:space="preserve"> PAGEREF _Toc56426931 \h </w:instrText>
            </w:r>
            <w:r>
              <w:rPr>
                <w:noProof/>
                <w:webHidden/>
              </w:rPr>
            </w:r>
            <w:r>
              <w:rPr>
                <w:noProof/>
                <w:webHidden/>
              </w:rPr>
              <w:fldChar w:fldCharType="separate"/>
            </w:r>
            <w:r w:rsidR="00B254CB">
              <w:rPr>
                <w:noProof/>
                <w:webHidden/>
              </w:rPr>
              <w:t>22</w:t>
            </w:r>
            <w:r>
              <w:rPr>
                <w:noProof/>
                <w:webHidden/>
              </w:rPr>
              <w:fldChar w:fldCharType="end"/>
            </w:r>
          </w:hyperlink>
        </w:p>
        <w:p w14:paraId="221352E3" w14:textId="77777777" w:rsidR="0063032F" w:rsidRDefault="0063032F">
          <w:pPr>
            <w:pStyle w:val="TM2"/>
            <w:tabs>
              <w:tab w:val="left" w:pos="360"/>
              <w:tab w:val="right" w:leader="dot" w:pos="10610"/>
            </w:tabs>
            <w:rPr>
              <w:rFonts w:cstheme="minorBidi"/>
              <w:b w:val="0"/>
              <w:bCs w:val="0"/>
              <w:noProof/>
              <w:color w:val="auto"/>
              <w:sz w:val="22"/>
              <w:szCs w:val="22"/>
              <w:lang w:val="fr-BE" w:eastAsia="fr-BE"/>
            </w:rPr>
          </w:pPr>
          <w:hyperlink w:anchor="_Toc56426932" w:history="1">
            <w:r w:rsidRPr="008E46F5">
              <w:rPr>
                <w:rStyle w:val="Lienhypertexte"/>
                <w:noProof/>
                <w14:scene3d>
                  <w14:camera w14:prst="orthographicFront"/>
                  <w14:lightRig w14:rig="threePt" w14:dir="t">
                    <w14:rot w14:lat="0" w14:lon="0" w14:rev="0"/>
                  </w14:lightRig>
                </w14:scene3d>
              </w:rPr>
              <w:t>I.</w:t>
            </w:r>
            <w:r>
              <w:rPr>
                <w:rFonts w:cstheme="minorBidi"/>
                <w:b w:val="0"/>
                <w:bCs w:val="0"/>
                <w:noProof/>
                <w:color w:val="auto"/>
                <w:sz w:val="22"/>
                <w:szCs w:val="22"/>
                <w:lang w:val="fr-BE" w:eastAsia="fr-BE"/>
              </w:rPr>
              <w:tab/>
            </w:r>
            <w:r w:rsidRPr="008E46F5">
              <w:rPr>
                <w:rStyle w:val="Lienhypertexte"/>
                <w:noProof/>
              </w:rPr>
              <w:t>Utilisation de drones</w:t>
            </w:r>
            <w:r>
              <w:rPr>
                <w:noProof/>
                <w:webHidden/>
              </w:rPr>
              <w:tab/>
            </w:r>
            <w:r>
              <w:rPr>
                <w:noProof/>
                <w:webHidden/>
              </w:rPr>
              <w:fldChar w:fldCharType="begin"/>
            </w:r>
            <w:r>
              <w:rPr>
                <w:noProof/>
                <w:webHidden/>
              </w:rPr>
              <w:instrText xml:space="preserve"> PAGEREF _Toc56426932 \h </w:instrText>
            </w:r>
            <w:r>
              <w:rPr>
                <w:noProof/>
                <w:webHidden/>
              </w:rPr>
            </w:r>
            <w:r>
              <w:rPr>
                <w:noProof/>
                <w:webHidden/>
              </w:rPr>
              <w:fldChar w:fldCharType="separate"/>
            </w:r>
            <w:r w:rsidR="00B254CB">
              <w:rPr>
                <w:noProof/>
                <w:webHidden/>
              </w:rPr>
              <w:t>22</w:t>
            </w:r>
            <w:r>
              <w:rPr>
                <w:noProof/>
                <w:webHidden/>
              </w:rPr>
              <w:fldChar w:fldCharType="end"/>
            </w:r>
          </w:hyperlink>
        </w:p>
        <w:p w14:paraId="5A5F9053" w14:textId="77777777" w:rsidR="0063032F" w:rsidRDefault="0063032F">
          <w:pPr>
            <w:pStyle w:val="TM2"/>
            <w:tabs>
              <w:tab w:val="left" w:pos="360"/>
              <w:tab w:val="right" w:leader="dot" w:pos="10610"/>
            </w:tabs>
            <w:rPr>
              <w:rFonts w:cstheme="minorBidi"/>
              <w:b w:val="0"/>
              <w:bCs w:val="0"/>
              <w:noProof/>
              <w:color w:val="auto"/>
              <w:sz w:val="22"/>
              <w:szCs w:val="22"/>
              <w:lang w:val="fr-BE" w:eastAsia="fr-BE"/>
            </w:rPr>
          </w:pPr>
          <w:hyperlink w:anchor="_Toc56426933" w:history="1">
            <w:r w:rsidRPr="008E46F5">
              <w:rPr>
                <w:rStyle w:val="Lienhypertexte"/>
                <w:noProof/>
                <w14:scene3d>
                  <w14:camera w14:prst="orthographicFront"/>
                  <w14:lightRig w14:rig="threePt" w14:dir="t">
                    <w14:rot w14:lat="0" w14:lon="0" w14:rev="0"/>
                  </w14:lightRig>
                </w14:scene3d>
              </w:rPr>
              <w:t>J.</w:t>
            </w:r>
            <w:r>
              <w:rPr>
                <w:rFonts w:cstheme="minorBidi"/>
                <w:b w:val="0"/>
                <w:bCs w:val="0"/>
                <w:noProof/>
                <w:color w:val="auto"/>
                <w:sz w:val="22"/>
                <w:szCs w:val="22"/>
                <w:lang w:val="fr-BE" w:eastAsia="fr-BE"/>
              </w:rPr>
              <w:tab/>
            </w:r>
            <w:r w:rsidRPr="008E46F5">
              <w:rPr>
                <w:rStyle w:val="Lienhypertexte"/>
                <w:noProof/>
              </w:rPr>
              <w:t>Activités sportives</w:t>
            </w:r>
            <w:r>
              <w:rPr>
                <w:noProof/>
                <w:webHidden/>
              </w:rPr>
              <w:tab/>
            </w:r>
            <w:r>
              <w:rPr>
                <w:noProof/>
                <w:webHidden/>
              </w:rPr>
              <w:fldChar w:fldCharType="begin"/>
            </w:r>
            <w:r>
              <w:rPr>
                <w:noProof/>
                <w:webHidden/>
              </w:rPr>
              <w:instrText xml:space="preserve"> PAGEREF _Toc56426933 \h </w:instrText>
            </w:r>
            <w:r>
              <w:rPr>
                <w:noProof/>
                <w:webHidden/>
              </w:rPr>
            </w:r>
            <w:r>
              <w:rPr>
                <w:noProof/>
                <w:webHidden/>
              </w:rPr>
              <w:fldChar w:fldCharType="separate"/>
            </w:r>
            <w:r w:rsidR="00B254CB">
              <w:rPr>
                <w:noProof/>
                <w:webHidden/>
              </w:rPr>
              <w:t>23</w:t>
            </w:r>
            <w:r>
              <w:rPr>
                <w:noProof/>
                <w:webHidden/>
              </w:rPr>
              <w:fldChar w:fldCharType="end"/>
            </w:r>
          </w:hyperlink>
        </w:p>
        <w:p w14:paraId="1F30B365" w14:textId="77777777" w:rsidR="0063032F" w:rsidRDefault="0063032F">
          <w:pPr>
            <w:pStyle w:val="TM3"/>
            <w:tabs>
              <w:tab w:val="right" w:leader="dot" w:pos="10610"/>
            </w:tabs>
            <w:rPr>
              <w:rFonts w:cstheme="minorBidi"/>
              <w:noProof/>
              <w:color w:val="auto"/>
              <w:sz w:val="22"/>
              <w:szCs w:val="22"/>
              <w:lang w:val="fr-BE" w:eastAsia="fr-BE"/>
            </w:rPr>
          </w:pPr>
          <w:hyperlink w:anchor="_Toc56426934" w:history="1">
            <w:r w:rsidRPr="008E46F5">
              <w:rPr>
                <w:rStyle w:val="Lienhypertexte"/>
                <w:noProof/>
              </w:rPr>
              <w:t>Randonnées</w:t>
            </w:r>
            <w:r>
              <w:rPr>
                <w:noProof/>
                <w:webHidden/>
              </w:rPr>
              <w:tab/>
            </w:r>
            <w:r>
              <w:rPr>
                <w:noProof/>
                <w:webHidden/>
              </w:rPr>
              <w:fldChar w:fldCharType="begin"/>
            </w:r>
            <w:r>
              <w:rPr>
                <w:noProof/>
                <w:webHidden/>
              </w:rPr>
              <w:instrText xml:space="preserve"> PAGEREF _Toc56426934 \h </w:instrText>
            </w:r>
            <w:r>
              <w:rPr>
                <w:noProof/>
                <w:webHidden/>
              </w:rPr>
            </w:r>
            <w:r>
              <w:rPr>
                <w:noProof/>
                <w:webHidden/>
              </w:rPr>
              <w:fldChar w:fldCharType="separate"/>
            </w:r>
            <w:r w:rsidR="00B254CB">
              <w:rPr>
                <w:noProof/>
                <w:webHidden/>
              </w:rPr>
              <w:t>23</w:t>
            </w:r>
            <w:r>
              <w:rPr>
                <w:noProof/>
                <w:webHidden/>
              </w:rPr>
              <w:fldChar w:fldCharType="end"/>
            </w:r>
          </w:hyperlink>
        </w:p>
        <w:p w14:paraId="2A5EEB1B"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35" w:history="1">
            <w:r w:rsidRPr="008E46F5">
              <w:rPr>
                <w:rStyle w:val="Lienhypertexte"/>
                <w:noProof/>
                <w14:scene3d>
                  <w14:camera w14:prst="orthographicFront"/>
                  <w14:lightRig w14:rig="threePt" w14:dir="t">
                    <w14:rot w14:lat="0" w14:lon="0" w14:rev="0"/>
                  </w14:lightRig>
                </w14:scene3d>
              </w:rPr>
              <w:t>K.</w:t>
            </w:r>
            <w:r>
              <w:rPr>
                <w:rFonts w:cstheme="minorBidi"/>
                <w:b w:val="0"/>
                <w:bCs w:val="0"/>
                <w:noProof/>
                <w:color w:val="auto"/>
                <w:sz w:val="22"/>
                <w:szCs w:val="22"/>
                <w:lang w:val="fr-BE" w:eastAsia="fr-BE"/>
              </w:rPr>
              <w:tab/>
            </w:r>
            <w:r w:rsidRPr="008E46F5">
              <w:rPr>
                <w:rStyle w:val="Lienhypertexte"/>
                <w:noProof/>
              </w:rPr>
              <w:t>Patinoires</w:t>
            </w:r>
            <w:r>
              <w:rPr>
                <w:noProof/>
                <w:webHidden/>
              </w:rPr>
              <w:tab/>
            </w:r>
            <w:r>
              <w:rPr>
                <w:noProof/>
                <w:webHidden/>
              </w:rPr>
              <w:fldChar w:fldCharType="begin"/>
            </w:r>
            <w:r>
              <w:rPr>
                <w:noProof/>
                <w:webHidden/>
              </w:rPr>
              <w:instrText xml:space="preserve"> PAGEREF _Toc56426935 \h </w:instrText>
            </w:r>
            <w:r>
              <w:rPr>
                <w:noProof/>
                <w:webHidden/>
              </w:rPr>
            </w:r>
            <w:r>
              <w:rPr>
                <w:noProof/>
                <w:webHidden/>
              </w:rPr>
              <w:fldChar w:fldCharType="separate"/>
            </w:r>
            <w:r w:rsidR="00B254CB">
              <w:rPr>
                <w:noProof/>
                <w:webHidden/>
              </w:rPr>
              <w:t>24</w:t>
            </w:r>
            <w:r>
              <w:rPr>
                <w:noProof/>
                <w:webHidden/>
              </w:rPr>
              <w:fldChar w:fldCharType="end"/>
            </w:r>
          </w:hyperlink>
        </w:p>
        <w:p w14:paraId="166E343E" w14:textId="77777777" w:rsidR="0063032F" w:rsidRDefault="0063032F">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hyperlink w:anchor="_Toc56426936" w:history="1">
            <w:r w:rsidRPr="008E46F5">
              <w:rPr>
                <w:rStyle w:val="Lienhypertexte"/>
                <w:noProof/>
              </w:rPr>
              <w:t>7.</w:t>
            </w:r>
            <w:r>
              <w:rPr>
                <w:rFonts w:asciiTheme="minorHAnsi" w:hAnsiTheme="minorHAnsi" w:cstheme="minorBidi"/>
                <w:b w:val="0"/>
                <w:bCs w:val="0"/>
                <w:caps w:val="0"/>
                <w:noProof/>
                <w:color w:val="auto"/>
                <w:sz w:val="22"/>
                <w:szCs w:val="22"/>
                <w:lang w:val="fr-BE" w:eastAsia="fr-BE"/>
              </w:rPr>
              <w:tab/>
            </w:r>
            <w:r w:rsidRPr="008E46F5">
              <w:rPr>
                <w:rStyle w:val="Lienhypertexte"/>
                <w:noProof/>
              </w:rPr>
              <w:t>Autres aspects relatifs à la sécurité des événements, pour lesquels la zone de secours ne doit pas être sollicitée</w:t>
            </w:r>
            <w:r>
              <w:rPr>
                <w:noProof/>
                <w:webHidden/>
              </w:rPr>
              <w:tab/>
            </w:r>
            <w:r>
              <w:rPr>
                <w:noProof/>
                <w:webHidden/>
              </w:rPr>
              <w:fldChar w:fldCharType="begin"/>
            </w:r>
            <w:r>
              <w:rPr>
                <w:noProof/>
                <w:webHidden/>
              </w:rPr>
              <w:instrText xml:space="preserve"> PAGEREF _Toc56426936 \h </w:instrText>
            </w:r>
            <w:r>
              <w:rPr>
                <w:noProof/>
                <w:webHidden/>
              </w:rPr>
            </w:r>
            <w:r>
              <w:rPr>
                <w:noProof/>
                <w:webHidden/>
              </w:rPr>
              <w:fldChar w:fldCharType="separate"/>
            </w:r>
            <w:r w:rsidR="00B254CB">
              <w:rPr>
                <w:noProof/>
                <w:webHidden/>
              </w:rPr>
              <w:t>25</w:t>
            </w:r>
            <w:r>
              <w:rPr>
                <w:noProof/>
                <w:webHidden/>
              </w:rPr>
              <w:fldChar w:fldCharType="end"/>
            </w:r>
          </w:hyperlink>
        </w:p>
        <w:p w14:paraId="1CD6E24D"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37" w:history="1">
            <w:r w:rsidRPr="008E46F5">
              <w:rPr>
                <w:rStyle w:val="Lienhypertexte"/>
                <w:noProof/>
                <w14:scene3d>
                  <w14:camera w14:prst="orthographicFront"/>
                  <w14:lightRig w14:rig="threePt" w14:dir="t">
                    <w14:rot w14:lat="0" w14:lon="0" w14:rev="0"/>
                  </w14:lightRig>
                </w14:scene3d>
              </w:rPr>
              <w:t>A.</w:t>
            </w:r>
            <w:r>
              <w:rPr>
                <w:rFonts w:cstheme="minorBidi"/>
                <w:b w:val="0"/>
                <w:bCs w:val="0"/>
                <w:noProof/>
                <w:color w:val="auto"/>
                <w:sz w:val="22"/>
                <w:szCs w:val="22"/>
                <w:lang w:val="fr-BE" w:eastAsia="fr-BE"/>
              </w:rPr>
              <w:tab/>
            </w:r>
            <w:r w:rsidRPr="008E46F5">
              <w:rPr>
                <w:rStyle w:val="Lienhypertexte"/>
                <w:noProof/>
              </w:rPr>
              <w:t>Premiers secours médicaux</w:t>
            </w:r>
            <w:r>
              <w:rPr>
                <w:noProof/>
                <w:webHidden/>
              </w:rPr>
              <w:tab/>
            </w:r>
            <w:r>
              <w:rPr>
                <w:noProof/>
                <w:webHidden/>
              </w:rPr>
              <w:fldChar w:fldCharType="begin"/>
            </w:r>
            <w:r>
              <w:rPr>
                <w:noProof/>
                <w:webHidden/>
              </w:rPr>
              <w:instrText xml:space="preserve"> PAGEREF _Toc56426937 \h </w:instrText>
            </w:r>
            <w:r>
              <w:rPr>
                <w:noProof/>
                <w:webHidden/>
              </w:rPr>
            </w:r>
            <w:r>
              <w:rPr>
                <w:noProof/>
                <w:webHidden/>
              </w:rPr>
              <w:fldChar w:fldCharType="separate"/>
            </w:r>
            <w:r w:rsidR="00B254CB">
              <w:rPr>
                <w:noProof/>
                <w:webHidden/>
              </w:rPr>
              <w:t>25</w:t>
            </w:r>
            <w:r>
              <w:rPr>
                <w:noProof/>
                <w:webHidden/>
              </w:rPr>
              <w:fldChar w:fldCharType="end"/>
            </w:r>
          </w:hyperlink>
        </w:p>
        <w:p w14:paraId="7AB46B27"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38" w:history="1">
            <w:r w:rsidRPr="008E46F5">
              <w:rPr>
                <w:rStyle w:val="Lienhypertexte"/>
                <w:noProof/>
                <w14:scene3d>
                  <w14:camera w14:prst="orthographicFront"/>
                  <w14:lightRig w14:rig="threePt" w14:dir="t">
                    <w14:rot w14:lat="0" w14:lon="0" w14:rev="0"/>
                  </w14:lightRig>
                </w14:scene3d>
              </w:rPr>
              <w:t>B.</w:t>
            </w:r>
            <w:r>
              <w:rPr>
                <w:rFonts w:cstheme="minorBidi"/>
                <w:b w:val="0"/>
                <w:bCs w:val="0"/>
                <w:noProof/>
                <w:color w:val="auto"/>
                <w:sz w:val="22"/>
                <w:szCs w:val="22"/>
                <w:lang w:val="fr-BE" w:eastAsia="fr-BE"/>
              </w:rPr>
              <w:tab/>
            </w:r>
            <w:r w:rsidRPr="008E46F5">
              <w:rPr>
                <w:rStyle w:val="Lienhypertexte"/>
                <w:noProof/>
              </w:rPr>
              <w:t>Mesures de sécurité liées aux compétences des autres services de secours.</w:t>
            </w:r>
            <w:r>
              <w:rPr>
                <w:noProof/>
                <w:webHidden/>
              </w:rPr>
              <w:tab/>
            </w:r>
            <w:r>
              <w:rPr>
                <w:noProof/>
                <w:webHidden/>
              </w:rPr>
              <w:fldChar w:fldCharType="begin"/>
            </w:r>
            <w:r>
              <w:rPr>
                <w:noProof/>
                <w:webHidden/>
              </w:rPr>
              <w:instrText xml:space="preserve"> PAGEREF _Toc56426938 \h </w:instrText>
            </w:r>
            <w:r>
              <w:rPr>
                <w:noProof/>
                <w:webHidden/>
              </w:rPr>
            </w:r>
            <w:r>
              <w:rPr>
                <w:noProof/>
                <w:webHidden/>
              </w:rPr>
              <w:fldChar w:fldCharType="separate"/>
            </w:r>
            <w:r w:rsidR="00B254CB">
              <w:rPr>
                <w:noProof/>
                <w:webHidden/>
              </w:rPr>
              <w:t>25</w:t>
            </w:r>
            <w:r>
              <w:rPr>
                <w:noProof/>
                <w:webHidden/>
              </w:rPr>
              <w:fldChar w:fldCharType="end"/>
            </w:r>
          </w:hyperlink>
        </w:p>
        <w:p w14:paraId="767FA66F"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39" w:history="1">
            <w:r w:rsidRPr="008E46F5">
              <w:rPr>
                <w:rStyle w:val="Lienhypertexte"/>
                <w:noProof/>
                <w14:scene3d>
                  <w14:camera w14:prst="orthographicFront"/>
                  <w14:lightRig w14:rig="threePt" w14:dir="t">
                    <w14:rot w14:lat="0" w14:lon="0" w14:rev="0"/>
                  </w14:lightRig>
                </w14:scene3d>
              </w:rPr>
              <w:t>C.</w:t>
            </w:r>
            <w:r>
              <w:rPr>
                <w:rFonts w:cstheme="minorBidi"/>
                <w:b w:val="0"/>
                <w:bCs w:val="0"/>
                <w:noProof/>
                <w:color w:val="auto"/>
                <w:sz w:val="22"/>
                <w:szCs w:val="22"/>
                <w:lang w:val="fr-BE" w:eastAsia="fr-BE"/>
              </w:rPr>
              <w:tab/>
            </w:r>
            <w:r w:rsidRPr="008E46F5">
              <w:rPr>
                <w:rStyle w:val="Lienhypertexte"/>
                <w:noProof/>
              </w:rPr>
              <w:t>Infrastructures portantes provisoires</w:t>
            </w:r>
            <w:r>
              <w:rPr>
                <w:noProof/>
                <w:webHidden/>
              </w:rPr>
              <w:tab/>
            </w:r>
            <w:r>
              <w:rPr>
                <w:noProof/>
                <w:webHidden/>
              </w:rPr>
              <w:fldChar w:fldCharType="begin"/>
            </w:r>
            <w:r>
              <w:rPr>
                <w:noProof/>
                <w:webHidden/>
              </w:rPr>
              <w:instrText xml:space="preserve"> PAGEREF _Toc56426939 \h </w:instrText>
            </w:r>
            <w:r>
              <w:rPr>
                <w:noProof/>
                <w:webHidden/>
              </w:rPr>
            </w:r>
            <w:r>
              <w:rPr>
                <w:noProof/>
                <w:webHidden/>
              </w:rPr>
              <w:fldChar w:fldCharType="separate"/>
            </w:r>
            <w:r w:rsidR="00B254CB">
              <w:rPr>
                <w:noProof/>
                <w:webHidden/>
              </w:rPr>
              <w:t>25</w:t>
            </w:r>
            <w:r>
              <w:rPr>
                <w:noProof/>
                <w:webHidden/>
              </w:rPr>
              <w:fldChar w:fldCharType="end"/>
            </w:r>
          </w:hyperlink>
        </w:p>
        <w:p w14:paraId="1A20E67D"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40" w:history="1">
            <w:r w:rsidRPr="008E46F5">
              <w:rPr>
                <w:rStyle w:val="Lienhypertexte"/>
                <w:noProof/>
                <w14:scene3d>
                  <w14:camera w14:prst="orthographicFront"/>
                  <w14:lightRig w14:rig="threePt" w14:dir="t">
                    <w14:rot w14:lat="0" w14:lon="0" w14:rev="0"/>
                  </w14:lightRig>
                </w14:scene3d>
              </w:rPr>
              <w:t>D.</w:t>
            </w:r>
            <w:r>
              <w:rPr>
                <w:rFonts w:cstheme="minorBidi"/>
                <w:b w:val="0"/>
                <w:bCs w:val="0"/>
                <w:noProof/>
                <w:color w:val="auto"/>
                <w:sz w:val="22"/>
                <w:szCs w:val="22"/>
                <w:lang w:val="fr-BE" w:eastAsia="fr-BE"/>
              </w:rPr>
              <w:tab/>
            </w:r>
            <w:r w:rsidRPr="008E46F5">
              <w:rPr>
                <w:rStyle w:val="Lienhypertexte"/>
                <w:noProof/>
              </w:rPr>
              <w:t>Lâcher de ballonnets</w:t>
            </w:r>
            <w:r>
              <w:rPr>
                <w:noProof/>
                <w:webHidden/>
              </w:rPr>
              <w:tab/>
            </w:r>
            <w:r>
              <w:rPr>
                <w:noProof/>
                <w:webHidden/>
              </w:rPr>
              <w:fldChar w:fldCharType="begin"/>
            </w:r>
            <w:r>
              <w:rPr>
                <w:noProof/>
                <w:webHidden/>
              </w:rPr>
              <w:instrText xml:space="preserve"> PAGEREF _Toc56426940 \h </w:instrText>
            </w:r>
            <w:r>
              <w:rPr>
                <w:noProof/>
                <w:webHidden/>
              </w:rPr>
            </w:r>
            <w:r>
              <w:rPr>
                <w:noProof/>
                <w:webHidden/>
              </w:rPr>
              <w:fldChar w:fldCharType="separate"/>
            </w:r>
            <w:r w:rsidR="00B254CB">
              <w:rPr>
                <w:noProof/>
                <w:webHidden/>
              </w:rPr>
              <w:t>26</w:t>
            </w:r>
            <w:r>
              <w:rPr>
                <w:noProof/>
                <w:webHidden/>
              </w:rPr>
              <w:fldChar w:fldCharType="end"/>
            </w:r>
          </w:hyperlink>
        </w:p>
        <w:p w14:paraId="7B370E1E"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41" w:history="1">
            <w:r w:rsidRPr="008E46F5">
              <w:rPr>
                <w:rStyle w:val="Lienhypertexte"/>
                <w:noProof/>
                <w14:scene3d>
                  <w14:camera w14:prst="orthographicFront"/>
                  <w14:lightRig w14:rig="threePt" w14:dir="t">
                    <w14:rot w14:lat="0" w14:lon="0" w14:rev="0"/>
                  </w14:lightRig>
                </w14:scene3d>
              </w:rPr>
              <w:t>E.</w:t>
            </w:r>
            <w:r>
              <w:rPr>
                <w:rFonts w:cstheme="minorBidi"/>
                <w:b w:val="0"/>
                <w:bCs w:val="0"/>
                <w:noProof/>
                <w:color w:val="auto"/>
                <w:sz w:val="22"/>
                <w:szCs w:val="22"/>
                <w:lang w:val="fr-BE" w:eastAsia="fr-BE"/>
              </w:rPr>
              <w:tab/>
            </w:r>
            <w:r w:rsidRPr="008E46F5">
              <w:rPr>
                <w:rStyle w:val="Lienhypertexte"/>
                <w:noProof/>
              </w:rPr>
              <w:t>Aires de jeux temporaires pour enfants et châteaux gonflables</w:t>
            </w:r>
            <w:r>
              <w:rPr>
                <w:noProof/>
                <w:webHidden/>
              </w:rPr>
              <w:tab/>
            </w:r>
            <w:r>
              <w:rPr>
                <w:noProof/>
                <w:webHidden/>
              </w:rPr>
              <w:fldChar w:fldCharType="begin"/>
            </w:r>
            <w:r>
              <w:rPr>
                <w:noProof/>
                <w:webHidden/>
              </w:rPr>
              <w:instrText xml:space="preserve"> PAGEREF _Toc56426941 \h </w:instrText>
            </w:r>
            <w:r>
              <w:rPr>
                <w:noProof/>
                <w:webHidden/>
              </w:rPr>
            </w:r>
            <w:r>
              <w:rPr>
                <w:noProof/>
                <w:webHidden/>
              </w:rPr>
              <w:fldChar w:fldCharType="separate"/>
            </w:r>
            <w:r w:rsidR="00B254CB">
              <w:rPr>
                <w:noProof/>
                <w:webHidden/>
              </w:rPr>
              <w:t>26</w:t>
            </w:r>
            <w:r>
              <w:rPr>
                <w:noProof/>
                <w:webHidden/>
              </w:rPr>
              <w:fldChar w:fldCharType="end"/>
            </w:r>
          </w:hyperlink>
        </w:p>
        <w:p w14:paraId="0A258465"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42" w:history="1">
            <w:r w:rsidRPr="008E46F5">
              <w:rPr>
                <w:rStyle w:val="Lienhypertexte"/>
                <w:noProof/>
                <w14:scene3d>
                  <w14:camera w14:prst="orthographicFront"/>
                  <w14:lightRig w14:rig="threePt" w14:dir="t">
                    <w14:rot w14:lat="0" w14:lon="0" w14:rev="0"/>
                  </w14:lightRig>
                </w14:scene3d>
              </w:rPr>
              <w:t>F.</w:t>
            </w:r>
            <w:r>
              <w:rPr>
                <w:rFonts w:cstheme="minorBidi"/>
                <w:b w:val="0"/>
                <w:bCs w:val="0"/>
                <w:noProof/>
                <w:color w:val="auto"/>
                <w:sz w:val="22"/>
                <w:szCs w:val="22"/>
                <w:lang w:val="fr-BE" w:eastAsia="fr-BE"/>
              </w:rPr>
              <w:tab/>
            </w:r>
            <w:r w:rsidRPr="008E46F5">
              <w:rPr>
                <w:rStyle w:val="Lienhypertexte"/>
                <w:noProof/>
              </w:rPr>
              <w:t>Divertissements actifs</w:t>
            </w:r>
            <w:r>
              <w:rPr>
                <w:noProof/>
                <w:webHidden/>
              </w:rPr>
              <w:tab/>
            </w:r>
            <w:r>
              <w:rPr>
                <w:noProof/>
                <w:webHidden/>
              </w:rPr>
              <w:fldChar w:fldCharType="begin"/>
            </w:r>
            <w:r>
              <w:rPr>
                <w:noProof/>
                <w:webHidden/>
              </w:rPr>
              <w:instrText xml:space="preserve"> PAGEREF _Toc56426942 \h </w:instrText>
            </w:r>
            <w:r>
              <w:rPr>
                <w:noProof/>
                <w:webHidden/>
              </w:rPr>
            </w:r>
            <w:r>
              <w:rPr>
                <w:noProof/>
                <w:webHidden/>
              </w:rPr>
              <w:fldChar w:fldCharType="separate"/>
            </w:r>
            <w:r w:rsidR="00B254CB">
              <w:rPr>
                <w:noProof/>
                <w:webHidden/>
              </w:rPr>
              <w:t>26</w:t>
            </w:r>
            <w:r>
              <w:rPr>
                <w:noProof/>
                <w:webHidden/>
              </w:rPr>
              <w:fldChar w:fldCharType="end"/>
            </w:r>
          </w:hyperlink>
        </w:p>
        <w:p w14:paraId="5C54D4F5"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43" w:history="1">
            <w:r w:rsidRPr="008E46F5">
              <w:rPr>
                <w:rStyle w:val="Lienhypertexte"/>
                <w:noProof/>
                <w14:scene3d>
                  <w14:camera w14:prst="orthographicFront"/>
                  <w14:lightRig w14:rig="threePt" w14:dir="t">
                    <w14:rot w14:lat="0" w14:lon="0" w14:rev="0"/>
                  </w14:lightRig>
                </w14:scene3d>
              </w:rPr>
              <w:t>G.</w:t>
            </w:r>
            <w:r>
              <w:rPr>
                <w:rFonts w:cstheme="minorBidi"/>
                <w:b w:val="0"/>
                <w:bCs w:val="0"/>
                <w:noProof/>
                <w:color w:val="auto"/>
                <w:sz w:val="22"/>
                <w:szCs w:val="22"/>
                <w:lang w:val="fr-BE" w:eastAsia="fr-BE"/>
              </w:rPr>
              <w:tab/>
            </w:r>
            <w:r w:rsidRPr="008E46F5">
              <w:rPr>
                <w:rStyle w:val="Lienhypertexte"/>
                <w:noProof/>
              </w:rPr>
              <w:t>Divertissements extrêmes</w:t>
            </w:r>
            <w:r>
              <w:rPr>
                <w:noProof/>
                <w:webHidden/>
              </w:rPr>
              <w:tab/>
            </w:r>
            <w:r>
              <w:rPr>
                <w:noProof/>
                <w:webHidden/>
              </w:rPr>
              <w:fldChar w:fldCharType="begin"/>
            </w:r>
            <w:r>
              <w:rPr>
                <w:noProof/>
                <w:webHidden/>
              </w:rPr>
              <w:instrText xml:space="preserve"> PAGEREF _Toc56426943 \h </w:instrText>
            </w:r>
            <w:r>
              <w:rPr>
                <w:noProof/>
                <w:webHidden/>
              </w:rPr>
            </w:r>
            <w:r>
              <w:rPr>
                <w:noProof/>
                <w:webHidden/>
              </w:rPr>
              <w:fldChar w:fldCharType="separate"/>
            </w:r>
            <w:r w:rsidR="00B254CB">
              <w:rPr>
                <w:noProof/>
                <w:webHidden/>
              </w:rPr>
              <w:t>27</w:t>
            </w:r>
            <w:r>
              <w:rPr>
                <w:noProof/>
                <w:webHidden/>
              </w:rPr>
              <w:fldChar w:fldCharType="end"/>
            </w:r>
          </w:hyperlink>
        </w:p>
        <w:p w14:paraId="3D7A92AC"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44" w:history="1">
            <w:r w:rsidRPr="008E46F5">
              <w:rPr>
                <w:rStyle w:val="Lienhypertexte"/>
                <w:noProof/>
                <w14:scene3d>
                  <w14:camera w14:prst="orthographicFront"/>
                  <w14:lightRig w14:rig="threePt" w14:dir="t">
                    <w14:rot w14:lat="0" w14:lon="0" w14:rev="0"/>
                  </w14:lightRig>
                </w14:scene3d>
              </w:rPr>
              <w:t>H.</w:t>
            </w:r>
            <w:r>
              <w:rPr>
                <w:rFonts w:cstheme="minorBidi"/>
                <w:b w:val="0"/>
                <w:bCs w:val="0"/>
                <w:noProof/>
                <w:color w:val="auto"/>
                <w:sz w:val="22"/>
                <w:szCs w:val="22"/>
                <w:lang w:val="fr-BE" w:eastAsia="fr-BE"/>
              </w:rPr>
              <w:tab/>
            </w:r>
            <w:r w:rsidRPr="008E46F5">
              <w:rPr>
                <w:rStyle w:val="Lienhypertexte"/>
                <w:noProof/>
              </w:rPr>
              <w:t>Attractions foraines</w:t>
            </w:r>
            <w:r>
              <w:rPr>
                <w:noProof/>
                <w:webHidden/>
              </w:rPr>
              <w:tab/>
            </w:r>
            <w:r>
              <w:rPr>
                <w:noProof/>
                <w:webHidden/>
              </w:rPr>
              <w:fldChar w:fldCharType="begin"/>
            </w:r>
            <w:r>
              <w:rPr>
                <w:noProof/>
                <w:webHidden/>
              </w:rPr>
              <w:instrText xml:space="preserve"> PAGEREF _Toc56426944 \h </w:instrText>
            </w:r>
            <w:r>
              <w:rPr>
                <w:noProof/>
                <w:webHidden/>
              </w:rPr>
            </w:r>
            <w:r>
              <w:rPr>
                <w:noProof/>
                <w:webHidden/>
              </w:rPr>
              <w:fldChar w:fldCharType="separate"/>
            </w:r>
            <w:r w:rsidR="00B254CB">
              <w:rPr>
                <w:noProof/>
                <w:webHidden/>
              </w:rPr>
              <w:t>28</w:t>
            </w:r>
            <w:r>
              <w:rPr>
                <w:noProof/>
                <w:webHidden/>
              </w:rPr>
              <w:fldChar w:fldCharType="end"/>
            </w:r>
          </w:hyperlink>
        </w:p>
        <w:p w14:paraId="225997E5" w14:textId="77777777" w:rsidR="0063032F" w:rsidRDefault="0063032F">
          <w:pPr>
            <w:pStyle w:val="TM2"/>
            <w:tabs>
              <w:tab w:val="left" w:pos="360"/>
              <w:tab w:val="right" w:leader="dot" w:pos="10610"/>
            </w:tabs>
            <w:rPr>
              <w:rFonts w:cstheme="minorBidi"/>
              <w:b w:val="0"/>
              <w:bCs w:val="0"/>
              <w:noProof/>
              <w:color w:val="auto"/>
              <w:sz w:val="22"/>
              <w:szCs w:val="22"/>
              <w:lang w:val="fr-BE" w:eastAsia="fr-BE"/>
            </w:rPr>
          </w:pPr>
          <w:hyperlink w:anchor="_Toc56426945" w:history="1">
            <w:r w:rsidRPr="008E46F5">
              <w:rPr>
                <w:rStyle w:val="Lienhypertexte"/>
                <w:noProof/>
                <w14:scene3d>
                  <w14:camera w14:prst="orthographicFront"/>
                  <w14:lightRig w14:rig="threePt" w14:dir="t">
                    <w14:rot w14:lat="0" w14:lon="0" w14:rev="0"/>
                  </w14:lightRig>
                </w14:scene3d>
              </w:rPr>
              <w:t>I.</w:t>
            </w:r>
            <w:r>
              <w:rPr>
                <w:rFonts w:cstheme="minorBidi"/>
                <w:b w:val="0"/>
                <w:bCs w:val="0"/>
                <w:noProof/>
                <w:color w:val="auto"/>
                <w:sz w:val="22"/>
                <w:szCs w:val="22"/>
                <w:lang w:val="fr-BE" w:eastAsia="fr-BE"/>
              </w:rPr>
              <w:tab/>
            </w:r>
            <w:r w:rsidRPr="008E46F5">
              <w:rPr>
                <w:rStyle w:val="Lienhypertexte"/>
                <w:noProof/>
              </w:rPr>
              <w:t>Cortèges et allumoirs</w:t>
            </w:r>
            <w:r>
              <w:rPr>
                <w:noProof/>
                <w:webHidden/>
              </w:rPr>
              <w:tab/>
            </w:r>
            <w:r>
              <w:rPr>
                <w:noProof/>
                <w:webHidden/>
              </w:rPr>
              <w:fldChar w:fldCharType="begin"/>
            </w:r>
            <w:r>
              <w:rPr>
                <w:noProof/>
                <w:webHidden/>
              </w:rPr>
              <w:instrText xml:space="preserve"> PAGEREF _Toc56426945 \h </w:instrText>
            </w:r>
            <w:r>
              <w:rPr>
                <w:noProof/>
                <w:webHidden/>
              </w:rPr>
            </w:r>
            <w:r>
              <w:rPr>
                <w:noProof/>
                <w:webHidden/>
              </w:rPr>
              <w:fldChar w:fldCharType="separate"/>
            </w:r>
            <w:r w:rsidR="00B254CB">
              <w:rPr>
                <w:noProof/>
                <w:webHidden/>
              </w:rPr>
              <w:t>29</w:t>
            </w:r>
            <w:r>
              <w:rPr>
                <w:noProof/>
                <w:webHidden/>
              </w:rPr>
              <w:fldChar w:fldCharType="end"/>
            </w:r>
          </w:hyperlink>
        </w:p>
        <w:p w14:paraId="6224E3A3" w14:textId="77777777" w:rsidR="0063032F" w:rsidRDefault="0063032F">
          <w:pPr>
            <w:pStyle w:val="TM2"/>
            <w:tabs>
              <w:tab w:val="left" w:pos="360"/>
              <w:tab w:val="right" w:leader="dot" w:pos="10610"/>
            </w:tabs>
            <w:rPr>
              <w:rFonts w:cstheme="minorBidi"/>
              <w:b w:val="0"/>
              <w:bCs w:val="0"/>
              <w:noProof/>
              <w:color w:val="auto"/>
              <w:sz w:val="22"/>
              <w:szCs w:val="22"/>
              <w:lang w:val="fr-BE" w:eastAsia="fr-BE"/>
            </w:rPr>
          </w:pPr>
          <w:hyperlink w:anchor="_Toc56426946" w:history="1">
            <w:r w:rsidRPr="008E46F5">
              <w:rPr>
                <w:rStyle w:val="Lienhypertexte"/>
                <w:noProof/>
                <w14:scene3d>
                  <w14:camera w14:prst="orthographicFront"/>
                  <w14:lightRig w14:rig="threePt" w14:dir="t">
                    <w14:rot w14:lat="0" w14:lon="0" w14:rev="0"/>
                  </w14:lightRig>
                </w14:scene3d>
              </w:rPr>
              <w:t>J.</w:t>
            </w:r>
            <w:r>
              <w:rPr>
                <w:rFonts w:cstheme="minorBidi"/>
                <w:b w:val="0"/>
                <w:bCs w:val="0"/>
                <w:noProof/>
                <w:color w:val="auto"/>
                <w:sz w:val="22"/>
                <w:szCs w:val="22"/>
                <w:lang w:val="fr-BE" w:eastAsia="fr-BE"/>
              </w:rPr>
              <w:tab/>
            </w:r>
            <w:r w:rsidRPr="008E46F5">
              <w:rPr>
                <w:rStyle w:val="Lienhypertexte"/>
                <w:noProof/>
              </w:rPr>
              <w:t>Démonstration de monster trucks</w:t>
            </w:r>
            <w:r>
              <w:rPr>
                <w:noProof/>
                <w:webHidden/>
              </w:rPr>
              <w:tab/>
            </w:r>
            <w:r>
              <w:rPr>
                <w:noProof/>
                <w:webHidden/>
              </w:rPr>
              <w:fldChar w:fldCharType="begin"/>
            </w:r>
            <w:r>
              <w:rPr>
                <w:noProof/>
                <w:webHidden/>
              </w:rPr>
              <w:instrText xml:space="preserve"> PAGEREF _Toc56426946 \h </w:instrText>
            </w:r>
            <w:r>
              <w:rPr>
                <w:noProof/>
                <w:webHidden/>
              </w:rPr>
            </w:r>
            <w:r>
              <w:rPr>
                <w:noProof/>
                <w:webHidden/>
              </w:rPr>
              <w:fldChar w:fldCharType="separate"/>
            </w:r>
            <w:r w:rsidR="00B254CB">
              <w:rPr>
                <w:noProof/>
                <w:webHidden/>
              </w:rPr>
              <w:t>29</w:t>
            </w:r>
            <w:r>
              <w:rPr>
                <w:noProof/>
                <w:webHidden/>
              </w:rPr>
              <w:fldChar w:fldCharType="end"/>
            </w:r>
          </w:hyperlink>
        </w:p>
        <w:p w14:paraId="3C3DCDF0" w14:textId="77777777" w:rsidR="0063032F" w:rsidRDefault="0063032F">
          <w:pPr>
            <w:pStyle w:val="TM2"/>
            <w:tabs>
              <w:tab w:val="left" w:pos="540"/>
              <w:tab w:val="right" w:leader="dot" w:pos="10610"/>
            </w:tabs>
            <w:rPr>
              <w:rFonts w:cstheme="minorBidi"/>
              <w:b w:val="0"/>
              <w:bCs w:val="0"/>
              <w:noProof/>
              <w:color w:val="auto"/>
              <w:sz w:val="22"/>
              <w:szCs w:val="22"/>
              <w:lang w:val="fr-BE" w:eastAsia="fr-BE"/>
            </w:rPr>
          </w:pPr>
          <w:hyperlink w:anchor="_Toc56426947" w:history="1">
            <w:r w:rsidRPr="008E46F5">
              <w:rPr>
                <w:rStyle w:val="Lienhypertexte"/>
                <w:noProof/>
                <w14:scene3d>
                  <w14:camera w14:prst="orthographicFront"/>
                  <w14:lightRig w14:rig="threePt" w14:dir="t">
                    <w14:rot w14:lat="0" w14:lon="0" w14:rev="0"/>
                  </w14:lightRig>
                </w14:scene3d>
              </w:rPr>
              <w:t>K.</w:t>
            </w:r>
            <w:r>
              <w:rPr>
                <w:rFonts w:cstheme="minorBidi"/>
                <w:b w:val="0"/>
                <w:bCs w:val="0"/>
                <w:noProof/>
                <w:color w:val="auto"/>
                <w:sz w:val="22"/>
                <w:szCs w:val="22"/>
                <w:lang w:val="fr-BE" w:eastAsia="fr-BE"/>
              </w:rPr>
              <w:tab/>
            </w:r>
            <w:r w:rsidRPr="008E46F5">
              <w:rPr>
                <w:rStyle w:val="Lienhypertexte"/>
                <w:noProof/>
              </w:rPr>
              <w:t>Activités aquatiques ou à proximité de l</w:t>
            </w:r>
            <w:r w:rsidRPr="008E46F5">
              <w:rPr>
                <w:rStyle w:val="Lienhypertexte"/>
                <w:rFonts w:ascii="Times New Roman" w:hAnsi="Times New Roman" w:cs="Times New Roman"/>
                <w:noProof/>
              </w:rPr>
              <w:t>’</w:t>
            </w:r>
            <w:r w:rsidRPr="008E46F5">
              <w:rPr>
                <w:rStyle w:val="Lienhypertexte"/>
                <w:noProof/>
              </w:rPr>
              <w:t>eau</w:t>
            </w:r>
            <w:r>
              <w:rPr>
                <w:noProof/>
                <w:webHidden/>
              </w:rPr>
              <w:tab/>
            </w:r>
            <w:r>
              <w:rPr>
                <w:noProof/>
                <w:webHidden/>
              </w:rPr>
              <w:fldChar w:fldCharType="begin"/>
            </w:r>
            <w:r>
              <w:rPr>
                <w:noProof/>
                <w:webHidden/>
              </w:rPr>
              <w:instrText xml:space="preserve"> PAGEREF _Toc56426947 \h </w:instrText>
            </w:r>
            <w:r>
              <w:rPr>
                <w:noProof/>
                <w:webHidden/>
              </w:rPr>
            </w:r>
            <w:r>
              <w:rPr>
                <w:noProof/>
                <w:webHidden/>
              </w:rPr>
              <w:fldChar w:fldCharType="separate"/>
            </w:r>
            <w:r w:rsidR="00B254CB">
              <w:rPr>
                <w:noProof/>
                <w:webHidden/>
              </w:rPr>
              <w:t>30</w:t>
            </w:r>
            <w:r>
              <w:rPr>
                <w:noProof/>
                <w:webHidden/>
              </w:rPr>
              <w:fldChar w:fldCharType="end"/>
            </w:r>
          </w:hyperlink>
        </w:p>
        <w:p w14:paraId="2A125558" w14:textId="77777777" w:rsidR="0063032F" w:rsidRDefault="0063032F">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hyperlink w:anchor="_Toc56426948" w:history="1">
            <w:r w:rsidRPr="008E46F5">
              <w:rPr>
                <w:rStyle w:val="Lienhypertexte"/>
                <w:noProof/>
              </w:rPr>
              <w:t>8.</w:t>
            </w:r>
            <w:r>
              <w:rPr>
                <w:rFonts w:asciiTheme="minorHAnsi" w:hAnsiTheme="minorHAnsi" w:cstheme="minorBidi"/>
                <w:b w:val="0"/>
                <w:bCs w:val="0"/>
                <w:caps w:val="0"/>
                <w:noProof/>
                <w:color w:val="auto"/>
                <w:sz w:val="22"/>
                <w:szCs w:val="22"/>
                <w:lang w:val="fr-BE" w:eastAsia="fr-BE"/>
              </w:rPr>
              <w:tab/>
            </w:r>
            <w:r w:rsidRPr="008E46F5">
              <w:rPr>
                <w:rStyle w:val="Lienhypertexte"/>
                <w:noProof/>
              </w:rPr>
              <w:t>Contrôles préventifs juste avant l’ouverture de l’événement au public</w:t>
            </w:r>
            <w:r>
              <w:rPr>
                <w:noProof/>
                <w:webHidden/>
              </w:rPr>
              <w:tab/>
            </w:r>
            <w:r>
              <w:rPr>
                <w:noProof/>
                <w:webHidden/>
              </w:rPr>
              <w:fldChar w:fldCharType="begin"/>
            </w:r>
            <w:r>
              <w:rPr>
                <w:noProof/>
                <w:webHidden/>
              </w:rPr>
              <w:instrText xml:space="preserve"> PAGEREF _Toc56426948 \h </w:instrText>
            </w:r>
            <w:r>
              <w:rPr>
                <w:noProof/>
                <w:webHidden/>
              </w:rPr>
            </w:r>
            <w:r>
              <w:rPr>
                <w:noProof/>
                <w:webHidden/>
              </w:rPr>
              <w:fldChar w:fldCharType="separate"/>
            </w:r>
            <w:r w:rsidR="00B254CB">
              <w:rPr>
                <w:noProof/>
                <w:webHidden/>
              </w:rPr>
              <w:t>31</w:t>
            </w:r>
            <w:r>
              <w:rPr>
                <w:noProof/>
                <w:webHidden/>
              </w:rPr>
              <w:fldChar w:fldCharType="end"/>
            </w:r>
          </w:hyperlink>
        </w:p>
        <w:p w14:paraId="1C60CCB0" w14:textId="77777777" w:rsidR="0063032F" w:rsidRDefault="0063032F">
          <w:pPr>
            <w:pStyle w:val="TM1"/>
            <w:tabs>
              <w:tab w:val="left" w:pos="540"/>
              <w:tab w:val="right" w:leader="dot" w:pos="10610"/>
            </w:tabs>
            <w:rPr>
              <w:rFonts w:asciiTheme="minorHAnsi" w:hAnsiTheme="minorHAnsi" w:cstheme="minorBidi"/>
              <w:b w:val="0"/>
              <w:bCs w:val="0"/>
              <w:caps w:val="0"/>
              <w:noProof/>
              <w:color w:val="auto"/>
              <w:sz w:val="22"/>
              <w:szCs w:val="22"/>
              <w:lang w:val="fr-BE" w:eastAsia="fr-BE"/>
            </w:rPr>
          </w:pPr>
          <w:hyperlink w:anchor="_Toc56426949" w:history="1">
            <w:r w:rsidRPr="008E46F5">
              <w:rPr>
                <w:rStyle w:val="Lienhypertexte"/>
                <w:noProof/>
              </w:rPr>
              <w:t>9.</w:t>
            </w:r>
            <w:r>
              <w:rPr>
                <w:rFonts w:asciiTheme="minorHAnsi" w:hAnsiTheme="minorHAnsi" w:cstheme="minorBidi"/>
                <w:b w:val="0"/>
                <w:bCs w:val="0"/>
                <w:caps w:val="0"/>
                <w:noProof/>
                <w:color w:val="auto"/>
                <w:sz w:val="22"/>
                <w:szCs w:val="22"/>
                <w:lang w:val="fr-BE" w:eastAsia="fr-BE"/>
              </w:rPr>
              <w:tab/>
            </w:r>
            <w:r w:rsidRPr="008E46F5">
              <w:rPr>
                <w:rStyle w:val="Lienhypertexte"/>
                <w:noProof/>
              </w:rPr>
              <w:t>Présence de pompiers pendant la tenue de l’événement</w:t>
            </w:r>
            <w:r>
              <w:rPr>
                <w:noProof/>
                <w:webHidden/>
              </w:rPr>
              <w:tab/>
            </w:r>
            <w:r>
              <w:rPr>
                <w:noProof/>
                <w:webHidden/>
              </w:rPr>
              <w:fldChar w:fldCharType="begin"/>
            </w:r>
            <w:r>
              <w:rPr>
                <w:noProof/>
                <w:webHidden/>
              </w:rPr>
              <w:instrText xml:space="preserve"> PAGEREF _Toc56426949 \h </w:instrText>
            </w:r>
            <w:r>
              <w:rPr>
                <w:noProof/>
                <w:webHidden/>
              </w:rPr>
            </w:r>
            <w:r>
              <w:rPr>
                <w:noProof/>
                <w:webHidden/>
              </w:rPr>
              <w:fldChar w:fldCharType="separate"/>
            </w:r>
            <w:r w:rsidR="00B254CB">
              <w:rPr>
                <w:noProof/>
                <w:webHidden/>
              </w:rPr>
              <w:t>32</w:t>
            </w:r>
            <w:r>
              <w:rPr>
                <w:noProof/>
                <w:webHidden/>
              </w:rPr>
              <w:fldChar w:fldCharType="end"/>
            </w:r>
          </w:hyperlink>
        </w:p>
        <w:p w14:paraId="19C5580C" w14:textId="602C395F" w:rsidR="00306BBD" w:rsidRDefault="00306BBD">
          <w:r>
            <w:rPr>
              <w:b/>
              <w:bCs/>
            </w:rPr>
            <w:fldChar w:fldCharType="end"/>
          </w:r>
        </w:p>
      </w:sdtContent>
    </w:sdt>
    <w:p w14:paraId="4E884BF4" w14:textId="11CF4552" w:rsidR="00AB6090" w:rsidRDefault="00AB6090" w:rsidP="00C83752"/>
    <w:p w14:paraId="57A31EBF" w14:textId="27DF7BED" w:rsidR="00FB461E" w:rsidRDefault="00FB461E" w:rsidP="00C83752"/>
    <w:p w14:paraId="43A1F436" w14:textId="37228F8A" w:rsidR="00FB461E" w:rsidRDefault="00FB461E" w:rsidP="00C83752"/>
    <w:p w14:paraId="43E96564" w14:textId="6BE3995F" w:rsidR="00FB461E" w:rsidRDefault="00FB461E" w:rsidP="00C83752"/>
    <w:p w14:paraId="157FCEDF" w14:textId="632FF024" w:rsidR="00FB461E" w:rsidRDefault="00FB461E" w:rsidP="00C83752"/>
    <w:p w14:paraId="411C7895" w14:textId="7C4ACE5B" w:rsidR="00FB461E" w:rsidRDefault="00FB461E" w:rsidP="00C83752"/>
    <w:p w14:paraId="5CDB7E48" w14:textId="6B88687F" w:rsidR="00FB461E" w:rsidRDefault="00FB461E" w:rsidP="00C83752"/>
    <w:p w14:paraId="6B1DAFE5" w14:textId="6CF1C36C" w:rsidR="00FB461E" w:rsidRDefault="00FB461E" w:rsidP="00C83752"/>
    <w:p w14:paraId="11E30158" w14:textId="4CB7513A" w:rsidR="00FB461E" w:rsidRDefault="00FB461E" w:rsidP="00C83752"/>
    <w:p w14:paraId="3B1BE764" w14:textId="52BE4480" w:rsidR="00876FBA" w:rsidRPr="001A0DEC" w:rsidRDefault="00BE129C" w:rsidP="00306BBD">
      <w:pPr>
        <w:pStyle w:val="Titre"/>
        <w:numPr>
          <w:ilvl w:val="0"/>
          <w:numId w:val="80"/>
        </w:numPr>
        <w:pBdr>
          <w:top w:val="single" w:sz="4" w:space="1" w:color="auto"/>
          <w:left w:val="single" w:sz="4" w:space="4" w:color="auto"/>
          <w:bottom w:val="single" w:sz="4" w:space="1" w:color="auto"/>
          <w:right w:val="single" w:sz="4" w:space="4" w:color="auto"/>
        </w:pBdr>
        <w:outlineLvl w:val="0"/>
      </w:pPr>
      <w:bookmarkStart w:id="0" w:name="_Toc56426894"/>
      <w:r w:rsidRPr="001A0DEC">
        <w:lastRenderedPageBreak/>
        <w:t>Introduction.</w:t>
      </w:r>
      <w:bookmarkEnd w:id="0"/>
    </w:p>
    <w:p w14:paraId="41E7BC58" w14:textId="77777777" w:rsidR="00275C26" w:rsidRDefault="00275C26">
      <w:pPr>
        <w:pStyle w:val="Sansinterligne"/>
        <w:rPr>
          <w:sz w:val="18"/>
        </w:rPr>
      </w:pPr>
    </w:p>
    <w:p w14:paraId="3888C60A" w14:textId="77777777" w:rsidR="00BE129C" w:rsidRPr="00AB6090" w:rsidRDefault="00BE129C" w:rsidP="0063032F">
      <w:pPr>
        <w:pStyle w:val="Sansinterligne"/>
        <w:jc w:val="both"/>
        <w:rPr>
          <w:sz w:val="18"/>
        </w:rPr>
      </w:pPr>
      <w:r w:rsidRPr="00AB6090">
        <w:rPr>
          <w:sz w:val="18"/>
        </w:rPr>
        <w:t>La zone de secours est souvent amenée à formuler un avis auprès des autorités communales en ce qui concerne la sécurité des festivités, petits et grands événements.</w:t>
      </w:r>
    </w:p>
    <w:p w14:paraId="722237E2" w14:textId="055956DF" w:rsidR="00BE129C" w:rsidRPr="00AB6090" w:rsidRDefault="00BE129C" w:rsidP="0063032F">
      <w:pPr>
        <w:pStyle w:val="Sansinterligne"/>
        <w:jc w:val="both"/>
        <w:rPr>
          <w:sz w:val="18"/>
        </w:rPr>
      </w:pPr>
      <w:r w:rsidRPr="00AB6090">
        <w:rPr>
          <w:sz w:val="18"/>
        </w:rPr>
        <w:t>Il nous parait important de disposer d’un document de référence qui aborde les questions relatives à la sécurité et aux mesures à mettre en place lors d’évènements.</w:t>
      </w:r>
    </w:p>
    <w:p w14:paraId="25C6D988" w14:textId="77777777" w:rsidR="00BE129C" w:rsidRPr="00AB6090" w:rsidRDefault="00BE129C" w:rsidP="0063032F">
      <w:pPr>
        <w:pStyle w:val="Sansinterligne"/>
        <w:jc w:val="both"/>
        <w:rPr>
          <w:sz w:val="18"/>
        </w:rPr>
      </w:pPr>
    </w:p>
    <w:p w14:paraId="5893F6C5" w14:textId="77777777" w:rsidR="00BE129C" w:rsidRPr="00AB6090" w:rsidRDefault="00BE129C" w:rsidP="0063032F">
      <w:pPr>
        <w:pStyle w:val="Sansinterligne"/>
        <w:jc w:val="both"/>
        <w:rPr>
          <w:sz w:val="18"/>
        </w:rPr>
      </w:pPr>
      <w:r w:rsidRPr="00AB6090">
        <w:rPr>
          <w:sz w:val="18"/>
        </w:rPr>
        <w:t>Ce document ne peut aller à l’encontre du règlement de police communal, des règlementations en vigueur et de l’avis donné lors d’un éventuel contrôle.</w:t>
      </w:r>
    </w:p>
    <w:p w14:paraId="3F6EBE88" w14:textId="77777777" w:rsidR="00552EAF" w:rsidRPr="00AB6090" w:rsidRDefault="00552EAF" w:rsidP="0063032F">
      <w:pPr>
        <w:pStyle w:val="Sansinterligne"/>
        <w:jc w:val="both"/>
        <w:rPr>
          <w:sz w:val="18"/>
        </w:rPr>
      </w:pPr>
      <w:r w:rsidRPr="00AB6090">
        <w:rPr>
          <w:sz w:val="18"/>
        </w:rPr>
        <w:t>Le respect de la procédure décrite dans ce document permettra à la zone de secours de garantir un taux de réponse maximal aux demandes d’avis. Le respect des prescriptions minimales de sécurité visées dans ce mémento permettra, quant à lui de viser un niveau élevé de sécurité lors des festivités.</w:t>
      </w:r>
    </w:p>
    <w:p w14:paraId="16902E84" w14:textId="77777777" w:rsidR="00552EAF" w:rsidRPr="00AB6090" w:rsidRDefault="00552EAF" w:rsidP="0063032F">
      <w:pPr>
        <w:pStyle w:val="Sansinterligne"/>
        <w:jc w:val="both"/>
        <w:rPr>
          <w:sz w:val="18"/>
        </w:rPr>
      </w:pPr>
      <w:r w:rsidRPr="00AB6090">
        <w:rPr>
          <w:sz w:val="18"/>
        </w:rPr>
        <w:t>Ce document doit donc être diffusé au maximum pour permettre aux organisateurs d’en prendre connaissance et d’organiser leur manifestation en fonction de celui-ci.</w:t>
      </w:r>
    </w:p>
    <w:p w14:paraId="34553FE4" w14:textId="77777777" w:rsidR="00552EAF" w:rsidRPr="00AB6090" w:rsidRDefault="00552EAF" w:rsidP="0063032F">
      <w:pPr>
        <w:pStyle w:val="Sansinterligne"/>
        <w:jc w:val="both"/>
        <w:rPr>
          <w:sz w:val="18"/>
        </w:rPr>
      </w:pPr>
    </w:p>
    <w:p w14:paraId="4580E1AC" w14:textId="77777777" w:rsidR="00552EAF" w:rsidRDefault="00552EAF" w:rsidP="0063032F">
      <w:pPr>
        <w:widowControl w:val="0"/>
        <w:autoSpaceDE w:val="0"/>
        <w:autoSpaceDN w:val="0"/>
        <w:adjustRightInd w:val="0"/>
        <w:spacing w:line="259" w:lineRule="auto"/>
        <w:contextualSpacing/>
        <w:jc w:val="both"/>
      </w:pPr>
      <w:r w:rsidRPr="00AB6090">
        <w:t xml:space="preserve">La Zone de Secours ne donne jamais une autorisation pour l’organisation d’un évènement, mais bien un avis (dans son champ de compétence). L’organisateur doit absolument solliciter une autorisation </w:t>
      </w:r>
      <w:r w:rsidRPr="00AB6090">
        <w:rPr>
          <w:b/>
          <w:u w:val="single"/>
        </w:rPr>
        <w:t>auprès de l’autorité communale.</w:t>
      </w:r>
      <w:r w:rsidRPr="00AB6090">
        <w:t xml:space="preserve"> </w:t>
      </w:r>
    </w:p>
    <w:p w14:paraId="121D31D2" w14:textId="77777777" w:rsidR="00553BFD" w:rsidRDefault="00553BFD" w:rsidP="0063032F">
      <w:pPr>
        <w:widowControl w:val="0"/>
        <w:autoSpaceDE w:val="0"/>
        <w:autoSpaceDN w:val="0"/>
        <w:adjustRightInd w:val="0"/>
        <w:spacing w:line="259" w:lineRule="auto"/>
        <w:contextualSpacing/>
        <w:jc w:val="both"/>
      </w:pPr>
    </w:p>
    <w:p w14:paraId="0D3A45E3" w14:textId="050D117F" w:rsidR="00553BFD" w:rsidRPr="00AB6090" w:rsidRDefault="00553BFD" w:rsidP="0063032F">
      <w:pPr>
        <w:widowControl w:val="0"/>
        <w:autoSpaceDE w:val="0"/>
        <w:autoSpaceDN w:val="0"/>
        <w:adjustRightInd w:val="0"/>
        <w:spacing w:line="259" w:lineRule="auto"/>
        <w:contextualSpacing/>
        <w:jc w:val="both"/>
      </w:pPr>
      <w:r w:rsidRPr="00553BFD">
        <w:t>Sachez</w:t>
      </w:r>
      <w:r>
        <w:t xml:space="preserve"> aussi</w:t>
      </w:r>
      <w:r w:rsidRPr="00553BFD">
        <w:t xml:space="preserve"> que l’organisateur est le premier responsable de la sécurité de l’évènement qu’il souhaite organiser. Il convient donc qu’il fasse une analyse correcte des risques amenés par sa festivité</w:t>
      </w:r>
      <w:r>
        <w:t>.</w:t>
      </w:r>
      <w:r w:rsidRPr="00553BFD">
        <w:t xml:space="preserve"> </w:t>
      </w:r>
    </w:p>
    <w:p w14:paraId="7C5E6723" w14:textId="77777777" w:rsidR="00552EAF" w:rsidRPr="00AB6090" w:rsidRDefault="00552EAF" w:rsidP="0063032F">
      <w:pPr>
        <w:widowControl w:val="0"/>
        <w:autoSpaceDE w:val="0"/>
        <w:autoSpaceDN w:val="0"/>
        <w:adjustRightInd w:val="0"/>
        <w:spacing w:line="259" w:lineRule="auto"/>
        <w:contextualSpacing/>
        <w:jc w:val="both"/>
      </w:pPr>
    </w:p>
    <w:p w14:paraId="4CA799E2" w14:textId="77777777" w:rsidR="00552EAF" w:rsidRPr="00AB6090" w:rsidRDefault="00552EAF" w:rsidP="0063032F">
      <w:pPr>
        <w:widowControl w:val="0"/>
        <w:autoSpaceDE w:val="0"/>
        <w:autoSpaceDN w:val="0"/>
        <w:adjustRightInd w:val="0"/>
        <w:spacing w:line="259" w:lineRule="auto"/>
        <w:contextualSpacing/>
        <w:jc w:val="both"/>
      </w:pPr>
      <w:r w:rsidRPr="00AB6090">
        <w:t xml:space="preserve">Pour certains évènements, il est possible qu’un dispositif préventif "pompier" soit requis pour assurer la sécurité de la manifestation. Cette décision est toujours prise par la zone de secours en fonction de la description de l’évènement, de l’avis qu’elle fournit et de l’analyse de risque. </w:t>
      </w:r>
    </w:p>
    <w:p w14:paraId="54C749CB" w14:textId="77777777" w:rsidR="00552EAF" w:rsidRPr="00AB6090" w:rsidRDefault="00552EAF" w:rsidP="0063032F">
      <w:pPr>
        <w:widowControl w:val="0"/>
        <w:autoSpaceDE w:val="0"/>
        <w:autoSpaceDN w:val="0"/>
        <w:adjustRightInd w:val="0"/>
        <w:spacing w:line="259" w:lineRule="auto"/>
        <w:contextualSpacing/>
        <w:jc w:val="both"/>
      </w:pPr>
    </w:p>
    <w:p w14:paraId="7C66D0A7" w14:textId="77777777" w:rsidR="00552EAF" w:rsidRPr="00AB6090" w:rsidRDefault="00552EAF" w:rsidP="0063032F">
      <w:pPr>
        <w:widowControl w:val="0"/>
        <w:autoSpaceDE w:val="0"/>
        <w:autoSpaceDN w:val="0"/>
        <w:adjustRightInd w:val="0"/>
        <w:spacing w:line="259" w:lineRule="auto"/>
        <w:contextualSpacing/>
        <w:jc w:val="both"/>
      </w:pPr>
      <w:r w:rsidRPr="00AB6090">
        <w:t xml:space="preserve">Une décision unilatérale de la nécessité de présence de pompiers, formulée par l’organisateur ou l’autorité communale sans requérir l’avis de la zone de secours, ne sera pas suivie par une présence effective d’un dispositif pompier sur le terrain. En effet, seule l’analyse de risque effectuée par la zone de secours peut permettre de prendre une décision. </w:t>
      </w:r>
    </w:p>
    <w:p w14:paraId="0F5F83B1" w14:textId="77777777" w:rsidR="00552EAF" w:rsidRPr="00AB6090" w:rsidRDefault="00552EAF" w:rsidP="0063032F">
      <w:pPr>
        <w:widowControl w:val="0"/>
        <w:autoSpaceDE w:val="0"/>
        <w:autoSpaceDN w:val="0"/>
        <w:adjustRightInd w:val="0"/>
        <w:spacing w:line="259" w:lineRule="auto"/>
        <w:contextualSpacing/>
        <w:jc w:val="both"/>
      </w:pPr>
    </w:p>
    <w:p w14:paraId="5E4BDBDD" w14:textId="77777777" w:rsidR="00552EAF" w:rsidRPr="00AB6090" w:rsidRDefault="00552EAF" w:rsidP="0063032F">
      <w:pPr>
        <w:widowControl w:val="0"/>
        <w:autoSpaceDE w:val="0"/>
        <w:autoSpaceDN w:val="0"/>
        <w:adjustRightInd w:val="0"/>
        <w:spacing w:line="259" w:lineRule="auto"/>
        <w:contextualSpacing/>
        <w:jc w:val="both"/>
      </w:pPr>
      <w:r w:rsidRPr="00AB6090">
        <w:t xml:space="preserve">L’analyse de risque prendra en compte les risques amenés par la manifestation ainsi que la nécessité de maintenir une couverture opérationnelle suffisante pour assurer les missions quotidiennes de secours à la population. </w:t>
      </w:r>
    </w:p>
    <w:p w14:paraId="1F3EA0D4" w14:textId="77777777" w:rsidR="00552EAF" w:rsidRPr="00AB6090" w:rsidRDefault="00552EAF" w:rsidP="0063032F">
      <w:pPr>
        <w:widowControl w:val="0"/>
        <w:autoSpaceDE w:val="0"/>
        <w:autoSpaceDN w:val="0"/>
        <w:adjustRightInd w:val="0"/>
        <w:spacing w:line="259" w:lineRule="auto"/>
        <w:contextualSpacing/>
        <w:jc w:val="both"/>
      </w:pPr>
    </w:p>
    <w:p w14:paraId="40AC9BF0" w14:textId="77777777" w:rsidR="00552EAF" w:rsidRDefault="00552EAF" w:rsidP="0063032F">
      <w:pPr>
        <w:widowControl w:val="0"/>
        <w:autoSpaceDE w:val="0"/>
        <w:autoSpaceDN w:val="0"/>
        <w:adjustRightInd w:val="0"/>
        <w:spacing w:line="259" w:lineRule="auto"/>
        <w:contextualSpacing/>
        <w:jc w:val="both"/>
        <w:rPr>
          <w:b/>
        </w:rPr>
      </w:pPr>
      <w:r w:rsidRPr="00AB6090">
        <w:rPr>
          <w:b/>
        </w:rPr>
        <w:t>Si la conclusion de l’analyse amène à prévoir un dispositif pompier spécifique pendant l’évènement sur le site de celui-ci, la mise à disposition de personnel et de matériel sera soumise au règlement taxe de la zone de secours.</w:t>
      </w:r>
    </w:p>
    <w:p w14:paraId="04F7AA15" w14:textId="77777777" w:rsidR="00FE055D" w:rsidRPr="00FE055D" w:rsidRDefault="00FE055D" w:rsidP="0063032F">
      <w:pPr>
        <w:shd w:val="clear" w:color="auto" w:fill="FFFFFF"/>
        <w:spacing w:after="100" w:afterAutospacing="1" w:line="240" w:lineRule="auto"/>
        <w:jc w:val="both"/>
      </w:pPr>
      <w:r w:rsidRPr="00FE055D">
        <w:t>La mise à disposition des moyens est toujours conditionnée à la disponibilité de ceux-ci. La Zone de secours ne peut garantir leur présence si les moyens sont déjà requis en intervention. Les moyens peuvent ne plus être mis à disposition « privative » en regard de la protection d’intérêts supérieurs.</w:t>
      </w:r>
    </w:p>
    <w:p w14:paraId="2C449BB5" w14:textId="77777777" w:rsidR="00FE055D" w:rsidRPr="00FE055D" w:rsidRDefault="00FE055D" w:rsidP="0063032F">
      <w:pPr>
        <w:shd w:val="clear" w:color="auto" w:fill="FFFFFF"/>
        <w:spacing w:after="100" w:afterAutospacing="1" w:line="240" w:lineRule="auto"/>
        <w:jc w:val="both"/>
      </w:pPr>
      <w:r w:rsidRPr="00FE055D">
        <w:t> Les moyens présents pourraient quitter le dispositif préventif uniquement en cas de force majeure afin de se rendre en mission. Dans cette hypothèse, la facturation sera réduite au prorata des heures prestées.</w:t>
      </w:r>
    </w:p>
    <w:p w14:paraId="5F162B72" w14:textId="5183F728" w:rsidR="00FE055D" w:rsidRPr="00FE055D" w:rsidRDefault="00FE055D" w:rsidP="0063032F">
      <w:pPr>
        <w:shd w:val="clear" w:color="auto" w:fill="FFFFFF"/>
        <w:spacing w:after="100" w:afterAutospacing="1" w:line="240" w:lineRule="auto"/>
        <w:jc w:val="both"/>
      </w:pPr>
      <w:r w:rsidRPr="00FE055D">
        <w:t xml:space="preserve"> Dans certaines situations spécifiques, les éventuels consommables utilisés (extincteurs, etc.) seront facturés suivant les barèmes du Règlement de facturation de la Zone de secours </w:t>
      </w:r>
      <w:proofErr w:type="spellStart"/>
      <w:r>
        <w:t>Dinaphi</w:t>
      </w:r>
      <w:proofErr w:type="spellEnd"/>
      <w:r w:rsidRPr="00FE055D">
        <w:t>.</w:t>
      </w:r>
    </w:p>
    <w:p w14:paraId="708D9332" w14:textId="77777777" w:rsidR="00FE055D" w:rsidRPr="00FE055D" w:rsidRDefault="00FE055D" w:rsidP="0063032F">
      <w:pPr>
        <w:shd w:val="clear" w:color="auto" w:fill="FFFFFF"/>
        <w:spacing w:after="100" w:afterAutospacing="1" w:line="240" w:lineRule="auto"/>
        <w:jc w:val="both"/>
      </w:pPr>
      <w:r w:rsidRPr="00FE055D">
        <w:t> La présence du dispositif préventif ne libère pas l’organisateur de l’obligation de respecter l’avis de sécurité.</w:t>
      </w:r>
    </w:p>
    <w:p w14:paraId="38E7257F" w14:textId="77777777" w:rsidR="00552EAF" w:rsidRPr="00AB6090" w:rsidRDefault="00552EAF" w:rsidP="00552EAF">
      <w:pPr>
        <w:widowControl w:val="0"/>
        <w:autoSpaceDE w:val="0"/>
        <w:autoSpaceDN w:val="0"/>
        <w:adjustRightInd w:val="0"/>
        <w:spacing w:line="259" w:lineRule="auto"/>
        <w:contextualSpacing/>
      </w:pPr>
    </w:p>
    <w:p w14:paraId="1B421806" w14:textId="77777777" w:rsidR="0063032F" w:rsidRDefault="0063032F" w:rsidP="00552EAF">
      <w:pPr>
        <w:spacing w:after="0" w:line="240" w:lineRule="auto"/>
        <w:rPr>
          <w:i/>
          <w:sz w:val="14"/>
        </w:rPr>
      </w:pPr>
    </w:p>
    <w:p w14:paraId="51A05434" w14:textId="77777777" w:rsidR="0063032F" w:rsidRDefault="0063032F" w:rsidP="00552EAF">
      <w:pPr>
        <w:spacing w:after="0" w:line="240" w:lineRule="auto"/>
        <w:rPr>
          <w:i/>
          <w:sz w:val="14"/>
        </w:rPr>
      </w:pPr>
    </w:p>
    <w:p w14:paraId="0ECB274F" w14:textId="77777777" w:rsidR="0063032F" w:rsidRDefault="0063032F" w:rsidP="00552EAF">
      <w:pPr>
        <w:spacing w:after="0" w:line="240" w:lineRule="auto"/>
        <w:rPr>
          <w:i/>
          <w:sz w:val="14"/>
        </w:rPr>
      </w:pPr>
    </w:p>
    <w:p w14:paraId="22AFC211" w14:textId="77777777" w:rsidR="0063032F" w:rsidRDefault="0063032F" w:rsidP="00552EAF">
      <w:pPr>
        <w:spacing w:after="0" w:line="240" w:lineRule="auto"/>
        <w:rPr>
          <w:i/>
          <w:sz w:val="14"/>
        </w:rPr>
      </w:pPr>
    </w:p>
    <w:p w14:paraId="4BB4BAC6" w14:textId="77777777" w:rsidR="0063032F" w:rsidRDefault="0063032F" w:rsidP="00552EAF">
      <w:pPr>
        <w:spacing w:after="0" w:line="240" w:lineRule="auto"/>
        <w:rPr>
          <w:i/>
          <w:sz w:val="14"/>
        </w:rPr>
      </w:pPr>
    </w:p>
    <w:p w14:paraId="6F6E2B66" w14:textId="77777777" w:rsidR="0063032F" w:rsidRDefault="0063032F" w:rsidP="00552EAF">
      <w:pPr>
        <w:spacing w:after="0" w:line="240" w:lineRule="auto"/>
        <w:rPr>
          <w:i/>
          <w:sz w:val="14"/>
        </w:rPr>
      </w:pPr>
    </w:p>
    <w:p w14:paraId="7083D05A" w14:textId="77777777" w:rsidR="0063032F" w:rsidRDefault="0063032F" w:rsidP="00552EAF">
      <w:pPr>
        <w:spacing w:after="0" w:line="240" w:lineRule="auto"/>
        <w:rPr>
          <w:i/>
          <w:sz w:val="14"/>
        </w:rPr>
      </w:pPr>
    </w:p>
    <w:p w14:paraId="0BDD06E8" w14:textId="77777777" w:rsidR="0063032F" w:rsidRDefault="0063032F" w:rsidP="00552EAF">
      <w:pPr>
        <w:spacing w:after="0" w:line="240" w:lineRule="auto"/>
        <w:rPr>
          <w:i/>
          <w:sz w:val="14"/>
        </w:rPr>
      </w:pPr>
    </w:p>
    <w:p w14:paraId="395EAFA6" w14:textId="77777777" w:rsidR="0063032F" w:rsidRDefault="0063032F" w:rsidP="00552EAF">
      <w:pPr>
        <w:spacing w:after="0" w:line="240" w:lineRule="auto"/>
        <w:rPr>
          <w:i/>
          <w:sz w:val="14"/>
        </w:rPr>
      </w:pPr>
    </w:p>
    <w:p w14:paraId="00854415" w14:textId="77777777" w:rsidR="0063032F" w:rsidRDefault="0063032F" w:rsidP="00552EAF">
      <w:pPr>
        <w:spacing w:after="0" w:line="240" w:lineRule="auto"/>
        <w:rPr>
          <w:i/>
          <w:sz w:val="14"/>
        </w:rPr>
      </w:pPr>
    </w:p>
    <w:p w14:paraId="139185C4" w14:textId="77777777" w:rsidR="0063032F" w:rsidRDefault="0063032F" w:rsidP="00552EAF">
      <w:pPr>
        <w:spacing w:after="0" w:line="240" w:lineRule="auto"/>
        <w:rPr>
          <w:i/>
          <w:sz w:val="14"/>
        </w:rPr>
      </w:pPr>
    </w:p>
    <w:p w14:paraId="50C56328" w14:textId="77777777" w:rsidR="0063032F" w:rsidRDefault="0063032F" w:rsidP="00552EAF">
      <w:pPr>
        <w:spacing w:after="0" w:line="240" w:lineRule="auto"/>
        <w:rPr>
          <w:i/>
          <w:sz w:val="14"/>
        </w:rPr>
      </w:pPr>
    </w:p>
    <w:p w14:paraId="3F79C84A" w14:textId="77777777" w:rsidR="0063032F" w:rsidRDefault="0063032F" w:rsidP="00552EAF">
      <w:pPr>
        <w:spacing w:after="0" w:line="240" w:lineRule="auto"/>
        <w:rPr>
          <w:i/>
          <w:sz w:val="14"/>
        </w:rPr>
      </w:pPr>
    </w:p>
    <w:p w14:paraId="3E059D71" w14:textId="77777777" w:rsidR="0063032F" w:rsidRDefault="0063032F" w:rsidP="00552EAF">
      <w:pPr>
        <w:spacing w:after="0" w:line="240" w:lineRule="auto"/>
        <w:rPr>
          <w:i/>
          <w:sz w:val="14"/>
        </w:rPr>
      </w:pPr>
    </w:p>
    <w:p w14:paraId="7875DABA" w14:textId="77777777" w:rsidR="0063032F" w:rsidRDefault="0063032F" w:rsidP="00552EAF">
      <w:pPr>
        <w:spacing w:after="0" w:line="240" w:lineRule="auto"/>
        <w:rPr>
          <w:i/>
          <w:sz w:val="14"/>
        </w:rPr>
      </w:pPr>
    </w:p>
    <w:p w14:paraId="169654C7" w14:textId="77777777" w:rsidR="00552EAF" w:rsidRPr="00AB6090" w:rsidRDefault="00552EAF" w:rsidP="00552EAF">
      <w:pPr>
        <w:spacing w:after="0" w:line="240" w:lineRule="auto"/>
        <w:rPr>
          <w:i/>
          <w:sz w:val="14"/>
        </w:rPr>
      </w:pPr>
      <w:r w:rsidRPr="00AB6090">
        <w:rPr>
          <w:i/>
          <w:sz w:val="14"/>
        </w:rPr>
        <w:t>Le présent document a été établi sur la base de la réglementation, des bonnes pratiques, des données techniques disponibles ainsi qu’avec l’aide des guides de l’</w:t>
      </w:r>
      <w:proofErr w:type="spellStart"/>
      <w:r w:rsidRPr="00AB6090">
        <w:rPr>
          <w:i/>
          <w:sz w:val="14"/>
        </w:rPr>
        <w:t>uvcw</w:t>
      </w:r>
      <w:proofErr w:type="spellEnd"/>
      <w:r w:rsidRPr="00AB6090">
        <w:rPr>
          <w:i/>
          <w:sz w:val="14"/>
        </w:rPr>
        <w:t xml:space="preserve"> et des recommandations de sécurité des zones de secours WAPI, Luxembourg et NAGE. </w:t>
      </w:r>
    </w:p>
    <w:p w14:paraId="203F0F64" w14:textId="77777777" w:rsidR="00552EAF" w:rsidRPr="00AB6090" w:rsidRDefault="00552EAF" w:rsidP="00552EAF">
      <w:pPr>
        <w:spacing w:after="0" w:line="240" w:lineRule="auto"/>
        <w:rPr>
          <w:i/>
          <w:sz w:val="14"/>
        </w:rPr>
      </w:pPr>
      <w:r w:rsidRPr="00AB6090">
        <w:rPr>
          <w:i/>
          <w:sz w:val="14"/>
        </w:rPr>
        <w:t>Bien que ce guide ait été établi avec le plus grand soin, il reste toujours possible qu’un point soit insuffisamment documenté ou que des informations inconnues de nos services soient à prendre en considération.</w:t>
      </w:r>
    </w:p>
    <w:p w14:paraId="2E3E328A" w14:textId="77777777" w:rsidR="00552EAF" w:rsidRPr="00AB6090" w:rsidRDefault="00552EAF" w:rsidP="00552EAF">
      <w:pPr>
        <w:spacing w:after="0" w:line="240" w:lineRule="auto"/>
        <w:rPr>
          <w:i/>
          <w:sz w:val="14"/>
        </w:rPr>
      </w:pPr>
      <w:r w:rsidRPr="00AB6090">
        <w:rPr>
          <w:i/>
          <w:sz w:val="14"/>
        </w:rPr>
        <w:t>Des informations nouvelles peuvent également avoir été publiées après la date de parution de ce guide.</w:t>
      </w:r>
    </w:p>
    <w:p w14:paraId="2325AF5A" w14:textId="77777777" w:rsidR="00552EAF" w:rsidRPr="00AB6090" w:rsidRDefault="00552EAF" w:rsidP="00552EAF">
      <w:pPr>
        <w:spacing w:after="0" w:line="240" w:lineRule="auto"/>
        <w:rPr>
          <w:i/>
          <w:sz w:val="14"/>
        </w:rPr>
      </w:pPr>
      <w:r w:rsidRPr="00AB6090">
        <w:rPr>
          <w:i/>
          <w:sz w:val="14"/>
        </w:rPr>
        <w:t>Toute omission involontaire, imprécision et/ou erreur dans cette présente note diminue ou n’exclut pas l’obligation de l’organisateur de la festivité de répondre intégralement à la totalité des règlements et textes en vigueur.</w:t>
      </w:r>
    </w:p>
    <w:p w14:paraId="516474E5" w14:textId="77777777" w:rsidR="00140063" w:rsidRPr="00AB6090" w:rsidRDefault="00140063">
      <w:pPr>
        <w:pStyle w:val="Sansinterligne"/>
        <w:rPr>
          <w:sz w:val="18"/>
        </w:rPr>
      </w:pPr>
    </w:p>
    <w:p w14:paraId="54F8A434" w14:textId="671B2474" w:rsidR="00C0778F" w:rsidRPr="001A0DEC" w:rsidRDefault="004F78A5" w:rsidP="00306BBD">
      <w:pPr>
        <w:pStyle w:val="Titre"/>
        <w:numPr>
          <w:ilvl w:val="0"/>
          <w:numId w:val="80"/>
        </w:numPr>
        <w:pBdr>
          <w:top w:val="single" w:sz="4" w:space="1" w:color="auto"/>
          <w:left w:val="single" w:sz="4" w:space="4" w:color="auto"/>
          <w:bottom w:val="single" w:sz="4" w:space="1" w:color="auto"/>
          <w:right w:val="single" w:sz="4" w:space="4" w:color="auto"/>
        </w:pBdr>
        <w:outlineLvl w:val="0"/>
      </w:pPr>
      <w:bookmarkStart w:id="1" w:name="_Toc56426895"/>
      <w:r w:rsidRPr="001A0DEC">
        <w:lastRenderedPageBreak/>
        <w:t>Domaine d’application et principes légaux.</w:t>
      </w:r>
      <w:bookmarkEnd w:id="1"/>
    </w:p>
    <w:p w14:paraId="61C04684" w14:textId="70D315E7" w:rsidR="004F78A5" w:rsidRPr="00AB6090" w:rsidRDefault="004F78A5" w:rsidP="00306BBD">
      <w:pPr>
        <w:pStyle w:val="Style2"/>
        <w:numPr>
          <w:ilvl w:val="3"/>
          <w:numId w:val="73"/>
        </w:numPr>
        <w:outlineLvl w:val="1"/>
      </w:pPr>
      <w:bookmarkStart w:id="2" w:name="_Toc55899644"/>
      <w:bookmarkStart w:id="3" w:name="_Toc55900388"/>
      <w:bookmarkStart w:id="4" w:name="_Toc56426896"/>
      <w:r w:rsidRPr="00AB6090">
        <w:t>Distinction entre événement public et privé</w:t>
      </w:r>
      <w:bookmarkEnd w:id="2"/>
      <w:bookmarkEnd w:id="3"/>
      <w:bookmarkEnd w:id="4"/>
    </w:p>
    <w:p w14:paraId="285E17D0" w14:textId="77777777" w:rsidR="004F78A5" w:rsidRPr="00AB6090" w:rsidRDefault="004F78A5" w:rsidP="0063032F">
      <w:pPr>
        <w:jc w:val="both"/>
      </w:pPr>
      <w:r w:rsidRPr="00AB6090">
        <w:t>Une réunion est publique dès que quiconque y est admis indistinctement :</w:t>
      </w:r>
    </w:p>
    <w:p w14:paraId="3CC44295" w14:textId="77777777" w:rsidR="004F78A5" w:rsidRPr="00AB6090" w:rsidRDefault="004F78A5" w:rsidP="0063032F">
      <w:pPr>
        <w:pStyle w:val="Paragraphedeliste"/>
        <w:numPr>
          <w:ilvl w:val="0"/>
          <w:numId w:val="11"/>
        </w:numPr>
        <w:jc w:val="both"/>
      </w:pPr>
      <w:r w:rsidRPr="00AB6090">
        <w:t>Soit d’une façon tout à fait libre ;</w:t>
      </w:r>
    </w:p>
    <w:p w14:paraId="503B1490" w14:textId="77777777" w:rsidR="004F78A5" w:rsidRPr="00AB6090" w:rsidRDefault="004F78A5" w:rsidP="0063032F">
      <w:pPr>
        <w:pStyle w:val="Paragraphedeliste"/>
        <w:numPr>
          <w:ilvl w:val="0"/>
          <w:numId w:val="11"/>
        </w:numPr>
        <w:jc w:val="both"/>
      </w:pPr>
      <w:r w:rsidRPr="00AB6090">
        <w:t>Soit moyennant le paiement d’une somme à l’entrée ;</w:t>
      </w:r>
    </w:p>
    <w:p w14:paraId="0590A844" w14:textId="77777777" w:rsidR="004F78A5" w:rsidRPr="00AB6090" w:rsidRDefault="004F78A5" w:rsidP="0063032F">
      <w:pPr>
        <w:pStyle w:val="Paragraphedeliste"/>
        <w:numPr>
          <w:ilvl w:val="0"/>
          <w:numId w:val="11"/>
        </w:numPr>
        <w:jc w:val="both"/>
      </w:pPr>
      <w:r w:rsidRPr="00AB6090">
        <w:t>Soit sur présentation d’une carte d’invitation ou d’accès, lorsque celles-ci ont été distribuées ou vendues sans aucune sélection, à n’importe qui le demandait ; il n’existe en ce cas aucun lien entre l’invitant et l’invité, qui ne se connaissent pas ;</w:t>
      </w:r>
    </w:p>
    <w:p w14:paraId="1993E4EA" w14:textId="77777777" w:rsidR="004F78A5" w:rsidRPr="00AB6090" w:rsidRDefault="004F78A5" w:rsidP="0063032F">
      <w:pPr>
        <w:pStyle w:val="Paragraphedeliste"/>
        <w:numPr>
          <w:ilvl w:val="0"/>
          <w:numId w:val="11"/>
        </w:numPr>
        <w:jc w:val="both"/>
      </w:pPr>
      <w:r w:rsidRPr="00AB6090">
        <w:t>Soit par des invitations qui n’ont pas un caractère individuel, ou sans l’indication de nom ;</w:t>
      </w:r>
    </w:p>
    <w:p w14:paraId="59C19EED" w14:textId="77777777" w:rsidR="004F78A5" w:rsidRPr="00AB6090" w:rsidRDefault="004F78A5" w:rsidP="0063032F">
      <w:pPr>
        <w:pStyle w:val="Paragraphedeliste"/>
        <w:numPr>
          <w:ilvl w:val="0"/>
          <w:numId w:val="11"/>
        </w:numPr>
        <w:jc w:val="both"/>
      </w:pPr>
      <w:r w:rsidRPr="00AB6090">
        <w:t>Soit par des invitations parues dans les journaux et destinées à tout le monde ;</w:t>
      </w:r>
    </w:p>
    <w:p w14:paraId="73FAD398" w14:textId="77777777" w:rsidR="004F78A5" w:rsidRPr="00AB6090" w:rsidRDefault="004F78A5" w:rsidP="0063032F">
      <w:pPr>
        <w:pStyle w:val="Paragraphedeliste"/>
        <w:numPr>
          <w:ilvl w:val="0"/>
          <w:numId w:val="11"/>
        </w:numPr>
        <w:jc w:val="both"/>
      </w:pPr>
      <w:r w:rsidRPr="00AB6090">
        <w:t>Soit parce qu’à l’entrée il n’y a aucun contrôle sur les personnes entrant.</w:t>
      </w:r>
    </w:p>
    <w:p w14:paraId="789464D4" w14:textId="6164DE32" w:rsidR="00635572" w:rsidRPr="00AB6090" w:rsidRDefault="00635572" w:rsidP="0063032F">
      <w:pPr>
        <w:jc w:val="both"/>
      </w:pPr>
      <w:r w:rsidRPr="00AB6090">
        <w:t>Ainsi, comme pour les réunions privées, on se basera sur des éléments factuels pour savoir si on est en présence d’une réunion publique ou non</w:t>
      </w:r>
      <w:r w:rsidR="00553BFD">
        <w:t>.</w:t>
      </w:r>
    </w:p>
    <w:p w14:paraId="6FED0788" w14:textId="77777777" w:rsidR="00635572" w:rsidRPr="00AB6090" w:rsidRDefault="00635572" w:rsidP="0063032F">
      <w:pPr>
        <w:jc w:val="both"/>
        <w:rPr>
          <w:i/>
        </w:rPr>
      </w:pPr>
      <w:r w:rsidRPr="00AB6090">
        <w:rPr>
          <w:i/>
        </w:rPr>
        <w:t xml:space="preserve"> (Publication de </w:t>
      </w:r>
      <w:proofErr w:type="spellStart"/>
      <w:r w:rsidRPr="00AB6090">
        <w:rPr>
          <w:i/>
        </w:rPr>
        <w:t>uvcw</w:t>
      </w:r>
      <w:proofErr w:type="spellEnd"/>
      <w:r w:rsidRPr="00AB6090">
        <w:rPr>
          <w:i/>
        </w:rPr>
        <w:t>-Novembre 2011)</w:t>
      </w:r>
    </w:p>
    <w:p w14:paraId="7346E99C" w14:textId="4FE1AC37" w:rsidR="004F78A5" w:rsidRPr="00AB6090" w:rsidRDefault="004F78A5" w:rsidP="00306BBD">
      <w:pPr>
        <w:pStyle w:val="Style2"/>
        <w:numPr>
          <w:ilvl w:val="3"/>
          <w:numId w:val="73"/>
        </w:numPr>
        <w:outlineLvl w:val="1"/>
      </w:pPr>
      <w:bookmarkStart w:id="5" w:name="_Toc55899645"/>
      <w:bookmarkStart w:id="6" w:name="_Toc55900389"/>
      <w:bookmarkStart w:id="7" w:name="_Toc56426897"/>
      <w:r w:rsidRPr="00AB6090">
        <w:t>Pouvoirs des services de secours</w:t>
      </w:r>
      <w:bookmarkEnd w:id="5"/>
      <w:bookmarkEnd w:id="6"/>
      <w:bookmarkEnd w:id="7"/>
    </w:p>
    <w:p w14:paraId="027CF399" w14:textId="77777777" w:rsidR="00635572" w:rsidRPr="00AB6090" w:rsidRDefault="00635572" w:rsidP="0063032F">
      <w:pPr>
        <w:jc w:val="both"/>
      </w:pPr>
      <w:r w:rsidRPr="00AB6090">
        <w:t xml:space="preserve">Le Bourgmestre dispose des pouvoirs de police administrative générale, découlant de </w:t>
      </w:r>
      <w:r w:rsidRPr="00AB6090">
        <w:rPr>
          <w:b/>
        </w:rPr>
        <w:t>l’article 135, par.2, alinéas 3</w:t>
      </w:r>
      <w:r w:rsidRPr="00AB6090">
        <w:t xml:space="preserve"> de la Nouvelle loi communale, lui donnant la possibilité de prendre toute mesure nécessaire pour mettre fin au trouble ou au risque de trouble à l’ordre public.</w:t>
      </w:r>
    </w:p>
    <w:p w14:paraId="0E99D3AE" w14:textId="77777777" w:rsidR="00635572" w:rsidRPr="00AB6090" w:rsidRDefault="00635572" w:rsidP="0063032F">
      <w:pPr>
        <w:jc w:val="both"/>
      </w:pPr>
      <w:r w:rsidRPr="00AB6090">
        <w:t>Les pompiers sont donc mandatés par le Bourgmestre pour rendre un avis ou effectuer un contrôle.</w:t>
      </w:r>
    </w:p>
    <w:p w14:paraId="3E5A7C4D" w14:textId="77777777" w:rsidR="00635572" w:rsidRPr="00AB6090" w:rsidRDefault="00635572" w:rsidP="0063032F">
      <w:pPr>
        <w:jc w:val="both"/>
      </w:pPr>
      <w:r w:rsidRPr="00AB6090">
        <w:t>C’est le Bourgmestre qui peut alors prendre les mesures jugées nécessaires.</w:t>
      </w:r>
    </w:p>
    <w:p w14:paraId="305F6865" w14:textId="27C04C67" w:rsidR="004F78A5" w:rsidRPr="00AB6090" w:rsidRDefault="004F78A5" w:rsidP="00306BBD">
      <w:pPr>
        <w:pStyle w:val="Style2"/>
        <w:numPr>
          <w:ilvl w:val="3"/>
          <w:numId w:val="73"/>
        </w:numPr>
        <w:outlineLvl w:val="1"/>
      </w:pPr>
      <w:bookmarkStart w:id="8" w:name="_Toc55899646"/>
      <w:bookmarkStart w:id="9" w:name="_Toc55900390"/>
      <w:bookmarkStart w:id="10" w:name="_Toc56426898"/>
      <w:r w:rsidRPr="00AB6090">
        <w:t>Droit d</w:t>
      </w:r>
      <w:r w:rsidRPr="00AB6090">
        <w:rPr>
          <w:rFonts w:ascii="Times New Roman" w:hAnsi="Times New Roman" w:cs="Times New Roman"/>
        </w:rPr>
        <w:t>’</w:t>
      </w:r>
      <w:r w:rsidRPr="00AB6090">
        <w:t>acc</w:t>
      </w:r>
      <w:r w:rsidRPr="00AB6090">
        <w:rPr>
          <w:rFonts w:eastAsia="PMingLiU-ExtB" w:cs="PMingLiU-ExtB" w:hint="eastAsia"/>
        </w:rPr>
        <w:t>è</w:t>
      </w:r>
      <w:r w:rsidRPr="00AB6090">
        <w:t>s aux lieux et b</w:t>
      </w:r>
      <w:r w:rsidRPr="00AB6090">
        <w:rPr>
          <w:rFonts w:eastAsia="PMingLiU-ExtB" w:cs="PMingLiU-ExtB" w:hint="eastAsia"/>
        </w:rPr>
        <w:t>â</w:t>
      </w:r>
      <w:r w:rsidRPr="00AB6090">
        <w:t>timents priv</w:t>
      </w:r>
      <w:r w:rsidRPr="00AB6090">
        <w:rPr>
          <w:rFonts w:eastAsia="PMingLiU-ExtB" w:cs="PMingLiU-ExtB" w:hint="eastAsia"/>
        </w:rPr>
        <w:t>é</w:t>
      </w:r>
      <w:r w:rsidRPr="00AB6090">
        <w:t>s</w:t>
      </w:r>
      <w:bookmarkEnd w:id="8"/>
      <w:bookmarkEnd w:id="9"/>
      <w:bookmarkEnd w:id="10"/>
    </w:p>
    <w:p w14:paraId="5734BD09" w14:textId="77777777" w:rsidR="00CB1B9A" w:rsidRPr="00AB6090" w:rsidRDefault="00CB1B9A" w:rsidP="0063032F">
      <w:pPr>
        <w:jc w:val="both"/>
      </w:pPr>
      <w:r w:rsidRPr="00AB6090">
        <w:t>Par défaut, le pompier ne peut s’introduire dans un domaine privé sans y être autorisé. Cependant, dans le cadre du mandat qui lui est fixé par le Bourgmestre, le pompier peut demander l’appui de la police qui dispose d’autres possibilités.</w:t>
      </w:r>
    </w:p>
    <w:p w14:paraId="1D44F403" w14:textId="77777777" w:rsidR="002C2E9E" w:rsidRPr="00AB6090" w:rsidRDefault="00CB1B9A" w:rsidP="0063032F">
      <w:pPr>
        <w:jc w:val="both"/>
        <w:rPr>
          <w:i/>
        </w:rPr>
      </w:pPr>
      <w:r w:rsidRPr="00AB6090">
        <w:t>Concernant les policiers : la loi sur la fonction de la police énonce que « </w:t>
      </w:r>
      <w:r w:rsidR="002C2E9E" w:rsidRPr="00AB6090">
        <w:t>les fonctionnaires</w:t>
      </w:r>
      <w:r w:rsidRPr="00AB6090">
        <w:t xml:space="preserve"> de police peuvent toujours pénétrer dans les lieux accessibles au public ainsi que dans les biens</w:t>
      </w:r>
      <w:r w:rsidR="002C2E9E" w:rsidRPr="00AB6090">
        <w:t xml:space="preserve"> </w:t>
      </w:r>
      <w:r w:rsidRPr="00AB6090">
        <w:t xml:space="preserve">immeubles abandonnés, afin de </w:t>
      </w:r>
      <w:r w:rsidR="002C2E9E" w:rsidRPr="00AB6090">
        <w:t>veiller</w:t>
      </w:r>
      <w:r w:rsidRPr="00AB6090">
        <w:t xml:space="preserve"> au maintien de l’ordre </w:t>
      </w:r>
      <w:r w:rsidR="002C2E9E" w:rsidRPr="00AB6090">
        <w:t>public</w:t>
      </w:r>
      <w:r w:rsidRPr="00AB6090">
        <w:t xml:space="preserve"> et au respect des lois et des </w:t>
      </w:r>
      <w:r w:rsidR="002C2E9E" w:rsidRPr="00AB6090">
        <w:t>règlements</w:t>
      </w:r>
      <w:r w:rsidRPr="00AB6090">
        <w:t xml:space="preserve"> de police. (…). Cela signifie que les rassemblements publics, même s’ils se déroulent en lieu cl</w:t>
      </w:r>
      <w:r w:rsidR="002C2E9E" w:rsidRPr="00AB6090">
        <w:t>o</w:t>
      </w:r>
      <w:r w:rsidRPr="00AB6090">
        <w:t xml:space="preserve">s et couverts, peuvent être « visités » par des policiers. </w:t>
      </w:r>
      <w:r w:rsidR="002C2E9E" w:rsidRPr="00AB6090">
        <w:rPr>
          <w:i/>
        </w:rPr>
        <w:t xml:space="preserve">(Publication de </w:t>
      </w:r>
      <w:proofErr w:type="spellStart"/>
      <w:r w:rsidR="002C2E9E" w:rsidRPr="00AB6090">
        <w:rPr>
          <w:i/>
        </w:rPr>
        <w:t>uvcw</w:t>
      </w:r>
      <w:proofErr w:type="spellEnd"/>
      <w:r w:rsidR="002C2E9E" w:rsidRPr="00AB6090">
        <w:rPr>
          <w:i/>
        </w:rPr>
        <w:t>-Novembre 2011)</w:t>
      </w:r>
    </w:p>
    <w:p w14:paraId="7951E696" w14:textId="5A902234" w:rsidR="004F78A5" w:rsidRPr="00AB6090" w:rsidRDefault="002C2E9E" w:rsidP="00306BBD">
      <w:pPr>
        <w:pStyle w:val="Style2"/>
        <w:numPr>
          <w:ilvl w:val="3"/>
          <w:numId w:val="73"/>
        </w:numPr>
        <w:outlineLvl w:val="1"/>
      </w:pPr>
      <w:bookmarkStart w:id="11" w:name="_Toc55899647"/>
      <w:bookmarkStart w:id="12" w:name="_Toc55900391"/>
      <w:bookmarkStart w:id="13" w:name="_Toc56426899"/>
      <w:r w:rsidRPr="00AB6090">
        <w:t>Circulaire ministérielle OOP41</w:t>
      </w:r>
      <w:r w:rsidR="00DD79B8">
        <w:rPr>
          <w:rFonts w:ascii="ZWAdobeF" w:hAnsi="ZWAdobeF" w:cs="ZWAdobeF" w:hint="eastAsia"/>
          <w:color w:val="auto"/>
          <w:sz w:val="2"/>
          <w:szCs w:val="2"/>
        </w:rPr>
        <w:t>0F</w:t>
      </w:r>
      <w:r w:rsidRPr="00AB6090">
        <w:rPr>
          <w:rStyle w:val="Appelnotedebasdep"/>
        </w:rPr>
        <w:footnoteReference w:id="1"/>
      </w:r>
      <w:bookmarkEnd w:id="11"/>
      <w:bookmarkEnd w:id="12"/>
      <w:bookmarkEnd w:id="13"/>
    </w:p>
    <w:p w14:paraId="5607FDFB" w14:textId="77777777" w:rsidR="00074D4D" w:rsidRPr="00AB6090" w:rsidRDefault="00074D4D" w:rsidP="0063032F">
      <w:pPr>
        <w:pStyle w:val="Paragraphedeliste"/>
        <w:numPr>
          <w:ilvl w:val="0"/>
          <w:numId w:val="12"/>
        </w:numPr>
        <w:jc w:val="both"/>
      </w:pPr>
      <w:r w:rsidRPr="00AB6090">
        <w:t>L’organisateur est celui qui prend l’initiative d’inviter ou de mobiliser des personnes et d’organiser le rassemblement. L’organisateur de l’événement est considéré comme le premier responsable de la sécurité.</w:t>
      </w:r>
    </w:p>
    <w:p w14:paraId="0BA758D5" w14:textId="77777777" w:rsidR="00074D4D" w:rsidRPr="00AB6090" w:rsidRDefault="00074D4D" w:rsidP="0063032F">
      <w:pPr>
        <w:pStyle w:val="Paragraphedeliste"/>
        <w:numPr>
          <w:ilvl w:val="0"/>
          <w:numId w:val="12"/>
        </w:numPr>
        <w:jc w:val="both"/>
      </w:pPr>
      <w:r w:rsidRPr="00AB6090">
        <w:t>L'organisateur a, en tant qu'initiateur, une responsabilité importante en matière de sécurité. Il est censé se comporter `en bon père de famille' lors de la préparation, de l'organisation et du suivi de l'événement. Dans cette optique, il a l'obligation de prendre toutes les mesures de précaution et de sécurité nécessaires afin d'éviter tout préjudice aux personnes et aux biens.</w:t>
      </w:r>
    </w:p>
    <w:p w14:paraId="2E07A445" w14:textId="77777777" w:rsidR="00074D4D" w:rsidRPr="00AB6090" w:rsidRDefault="00074D4D" w:rsidP="0063032F">
      <w:pPr>
        <w:pStyle w:val="Paragraphedeliste"/>
        <w:numPr>
          <w:ilvl w:val="0"/>
          <w:numId w:val="12"/>
        </w:numPr>
        <w:jc w:val="both"/>
      </w:pPr>
      <w:r w:rsidRPr="00AB6090">
        <w:t>L'autorité est, tant dans son pouvoir exécutoire que dans son pouvoir d'ordonnance, tenue à un devoir général de prudence et de prévoyance. L'obligation de la commune de prendre les mesures nécessaires afin de prévenir tout dommage est une obligation de moyens.</w:t>
      </w:r>
    </w:p>
    <w:p w14:paraId="7635AA14" w14:textId="77777777" w:rsidR="00074D4D" w:rsidRPr="00AB6090" w:rsidRDefault="00074D4D" w:rsidP="0063032F">
      <w:pPr>
        <w:pStyle w:val="Paragraphedeliste"/>
        <w:numPr>
          <w:ilvl w:val="0"/>
          <w:numId w:val="12"/>
        </w:numPr>
        <w:jc w:val="both"/>
      </w:pPr>
      <w:r w:rsidRPr="00AB6090">
        <w:t>A l'exclusion des réunions privées, le bourgmestre a la possibilité d'imposer une série de conditions à l'organisateur, telle qu'un itinéraire à suivre, la mise en œuvre d'un service d'ordre interne, une interdiction de porter certains objets, ... `Sensu stricto', ces conditions ne constituent pas une limitation du droit fondamental.</w:t>
      </w:r>
    </w:p>
    <w:p w14:paraId="03CAB841" w14:textId="77777777" w:rsidR="00074D4D" w:rsidRPr="00AB6090" w:rsidRDefault="001B6012" w:rsidP="0063032F">
      <w:pPr>
        <w:pStyle w:val="Paragraphedeliste"/>
        <w:numPr>
          <w:ilvl w:val="0"/>
          <w:numId w:val="12"/>
        </w:numPr>
        <w:jc w:val="both"/>
      </w:pPr>
      <w:r w:rsidRPr="00AB6090">
        <w:t>L’organisateur effectue lui-même une analyse de risque liée à son événement et prend, à son niveau, les mesures de précaution et de sécurité qui s'imposent.</w:t>
      </w:r>
    </w:p>
    <w:p w14:paraId="130B5A2D" w14:textId="77777777" w:rsidR="001B6012" w:rsidRPr="00AB6090" w:rsidRDefault="001B6012" w:rsidP="0063032F">
      <w:pPr>
        <w:pStyle w:val="Paragraphedeliste"/>
        <w:numPr>
          <w:ilvl w:val="0"/>
          <w:numId w:val="12"/>
        </w:numPr>
        <w:jc w:val="both"/>
      </w:pPr>
      <w:r w:rsidRPr="00AB6090">
        <w:t>Les obligations suivantes peuvent notamment être imposés à l'organisateur ou faire l'objet d'un accord avec ce dernier :</w:t>
      </w:r>
    </w:p>
    <w:p w14:paraId="358F2B8B" w14:textId="77777777" w:rsidR="001B6012" w:rsidRPr="00AB6090" w:rsidRDefault="001B6012" w:rsidP="0063032F">
      <w:pPr>
        <w:pStyle w:val="Paragraphedeliste"/>
        <w:numPr>
          <w:ilvl w:val="1"/>
          <w:numId w:val="12"/>
        </w:numPr>
        <w:jc w:val="both"/>
      </w:pPr>
      <w:r w:rsidRPr="00AB6090">
        <w:t> </w:t>
      </w:r>
      <w:r w:rsidRPr="00AB6090">
        <w:rPr>
          <w:u w:val="single"/>
        </w:rPr>
        <w:t>Obligations générales :</w:t>
      </w:r>
      <w:r w:rsidRPr="00AB6090">
        <w:t xml:space="preserve"> respecter les législations et réglementations en vigueur, demander ou annoncer l'organisation de l'événement, communiquer le programme et les groupes de participants, échanger les informations nécessaires, participer à des réunions de coordination, respecter les conditions suspensives et les accords, établir un plan de communication, prévoir une personne de contact avec pouvoir décisionnel, organiser les déplacements de manière professionnelle, assurer la collaboration et la coordination avec les services de police et les services de secours, réaliser une analyse de risque, prévoir des consignes et des mesures de sécurité, créer un environnement sûr, agréable et accueillant sur le site de l'événement, prendre les mesures qui s'imposent pour un déroulement fluide et paisible de l'événement, prévoir un service d'ordre interne efficace, ... </w:t>
      </w:r>
    </w:p>
    <w:p w14:paraId="50863A01" w14:textId="77777777" w:rsidR="001B6012" w:rsidRPr="00AB6090" w:rsidRDefault="001B6012" w:rsidP="0063032F">
      <w:pPr>
        <w:pStyle w:val="Paragraphedeliste"/>
        <w:ind w:left="1440"/>
        <w:jc w:val="both"/>
      </w:pPr>
    </w:p>
    <w:p w14:paraId="486C0F48" w14:textId="77777777" w:rsidR="001B6012" w:rsidRPr="00AB6090" w:rsidRDefault="001B6012" w:rsidP="0063032F">
      <w:pPr>
        <w:pStyle w:val="Paragraphedeliste"/>
        <w:numPr>
          <w:ilvl w:val="1"/>
          <w:numId w:val="12"/>
        </w:numPr>
        <w:jc w:val="both"/>
      </w:pPr>
      <w:r w:rsidRPr="00AB6090">
        <w:rPr>
          <w:u w:val="single"/>
        </w:rPr>
        <w:lastRenderedPageBreak/>
        <w:t>Obligations spécifiques :</w:t>
      </w:r>
      <w:r w:rsidRPr="00AB6090">
        <w:t xml:space="preserve"> obtenir les autorisations et attestations de contrôle nécessaires, réaliser un plan d'implantation détaillé avec programme de montage et de démontage, organiser la billetterie et les accréditations, désigner un responsable pour la sécurité, établir un plan de sécurité et un plan interne d'urgence, mettre en place une cellule de coordination ou un local de sécurité, souscrire les assurances nécessaires, prévoir la sécurité interne, prendre les mesures nécessaires de sûreté et de sécurité passives, prendre les mesures contre le vol et les préjudices, prévoir une aide médicale urgente, contrôler l'afflux du public et la capacité des parkings et des places, prévoir des issues de secours et les voies d'évacuation nécessaires, sensibiliser le public au comportement à adopter lors de situations d'urgence (informations sur les billets, le site web de l'organisation, dans les médias sociaux, sur des enseignes lumineuses, via des annonces sonores, ...), prendre les mesures visant à empêcher la saturation des lignes téléphoniques (prévoir des lignes de communication analogiques, mettre à disposition une infrastructure WIFI, prévoir des antennes supplémentaires, ...), effectuer une évaluation, un suivi, ...</w:t>
      </w:r>
    </w:p>
    <w:p w14:paraId="74930B9A" w14:textId="77777777" w:rsidR="001B6012" w:rsidRPr="00AB6090" w:rsidRDefault="001B6012" w:rsidP="0063032F">
      <w:pPr>
        <w:pStyle w:val="Paragraphedeliste"/>
        <w:jc w:val="both"/>
      </w:pPr>
    </w:p>
    <w:p w14:paraId="483119F7" w14:textId="77777777" w:rsidR="001B6012" w:rsidRPr="00AB6090" w:rsidRDefault="001B6012" w:rsidP="0063032F">
      <w:pPr>
        <w:pStyle w:val="Paragraphedeliste"/>
        <w:numPr>
          <w:ilvl w:val="0"/>
          <w:numId w:val="12"/>
        </w:numPr>
        <w:jc w:val="both"/>
      </w:pPr>
      <w:r w:rsidRPr="00AB6090">
        <w:t>Les accords conclus avec l'organisateur d'un événement doivent être repris dans un protocole écrit. Ceci peut se faire dans la phase préparatoire de l'événement lors des réunions de coordination.</w:t>
      </w:r>
    </w:p>
    <w:p w14:paraId="1EBDFEDC" w14:textId="77777777" w:rsidR="001B6012" w:rsidRPr="00AB6090" w:rsidRDefault="001B6012" w:rsidP="0063032F">
      <w:pPr>
        <w:pStyle w:val="Paragraphedeliste"/>
        <w:numPr>
          <w:ilvl w:val="0"/>
          <w:numId w:val="12"/>
        </w:numPr>
        <w:jc w:val="both"/>
      </w:pPr>
      <w:r w:rsidRPr="00AB6090">
        <w:t>La cellule de sécurité et le fonctionnaire planification d'urgence ont un rôle important dans l'identification et l'analyse du risque dans le cadre d'une approche multidisciplinaire, dans la rédaction des plans d'urgence et d'intervention et dans la mise en œuvre de mesures préventives. Il est conseillé de faire appel à la cellule de sécurité dans la préparation, la gestion et l'évaluation de certains événements d'envergure</w:t>
      </w:r>
      <w:r w:rsidR="000447AC" w:rsidRPr="00AB6090">
        <w:t>.</w:t>
      </w:r>
    </w:p>
    <w:p w14:paraId="79E70780" w14:textId="77777777" w:rsidR="000447AC" w:rsidRPr="00AB6090" w:rsidRDefault="000447AC" w:rsidP="0063032F">
      <w:pPr>
        <w:jc w:val="both"/>
      </w:pPr>
    </w:p>
    <w:p w14:paraId="2F17A194" w14:textId="77777777" w:rsidR="000447AC" w:rsidRPr="00AB6090" w:rsidRDefault="000447AC" w:rsidP="0063032F">
      <w:pPr>
        <w:jc w:val="both"/>
      </w:pPr>
      <w:r w:rsidRPr="00AB6090">
        <w:rPr>
          <w:u w:val="single"/>
        </w:rPr>
        <w:t>Même lorsque l’évènement n’est pas d’ampleur suffisante pour nécessiter une réunion de coordination multidisciplinaire, il importe que l’autorité communale s’organise pour disposer des informations nécessaires relatives à l’évènement et aux mesures de sécurité à mettre en place pour qu’il se déroule sans nuire à l’ordre public et dans de bonnes conditions de sûreté</w:t>
      </w:r>
      <w:r w:rsidRPr="00AB6090">
        <w:t>.</w:t>
      </w:r>
    </w:p>
    <w:p w14:paraId="389E69C8" w14:textId="77777777" w:rsidR="000C1B35" w:rsidRPr="00AB6090" w:rsidRDefault="000C1B35" w:rsidP="0063032F">
      <w:pPr>
        <w:jc w:val="both"/>
      </w:pPr>
      <w:r w:rsidRPr="00AB6090">
        <w:t>A cette fin, il est recommandé de désigner un service communal (le fonctionnaire planification d’u</w:t>
      </w:r>
      <w:r w:rsidR="00594ADA" w:rsidRPr="00AB6090">
        <w:t>rgence ?)</w:t>
      </w:r>
      <w:r w:rsidRPr="00AB6090">
        <w:t xml:space="preserve"> comme point de contact unique pour la déclaration des festivités et des manifestations publiques. Il aura pour missions de récolter les éléments relatifs  aux évènements et qui peuvent impacter la sécurité de ceux-ci, de prendre avis auprès des services de secours et d’informer l’autorité communale pour que celle-ci puisse prendre des décisions en toute connaissance de cause et en détaillant correctement les mesures de sécurité qu’elle décide d’imposer aux organisateurs.</w:t>
      </w:r>
    </w:p>
    <w:p w14:paraId="304CEE48" w14:textId="2947CA5F" w:rsidR="00594ADA" w:rsidRDefault="00594ADA" w:rsidP="0063032F">
      <w:pPr>
        <w:jc w:val="both"/>
      </w:pPr>
      <w:r w:rsidRPr="00AB6090">
        <w:t xml:space="preserve">La zone de secours recommande que </w:t>
      </w:r>
      <w:r w:rsidRPr="00AB6090">
        <w:rPr>
          <w:u w:val="single"/>
        </w:rPr>
        <w:t>pour chaque manifestation publique</w:t>
      </w:r>
      <w:r w:rsidRPr="00AB6090">
        <w:t xml:space="preserve"> (même pour celles qui ne nécessitent pas d’avis pompiers) une </w:t>
      </w:r>
      <w:r w:rsidRPr="00AB6090">
        <w:rPr>
          <w:u w:val="single"/>
        </w:rPr>
        <w:t>copie du dossier de sécurité ou de la délibération du collège communal soit envoyée à la zone de secours.</w:t>
      </w:r>
      <w:r w:rsidRPr="00AB6090">
        <w:t xml:space="preserve"> De cette manière, chaque poste de secours de la zone ainsi que le CODIS est informé de ce qui se passe en temps et en heure, via un calendrier partagé et peut alors déployer les moyens adéquats en cas d’appel.</w:t>
      </w:r>
    </w:p>
    <w:p w14:paraId="422B66F8" w14:textId="161A0460" w:rsidR="00F64AAD" w:rsidRDefault="00F64AAD" w:rsidP="00594ADA">
      <w:pPr>
        <w:jc w:val="both"/>
      </w:pPr>
    </w:p>
    <w:p w14:paraId="7F2686E7" w14:textId="04123652" w:rsidR="00F64AAD" w:rsidRDefault="00F64AAD" w:rsidP="00594ADA">
      <w:pPr>
        <w:jc w:val="both"/>
      </w:pPr>
    </w:p>
    <w:p w14:paraId="49BA9891" w14:textId="167BD609" w:rsidR="00F64AAD" w:rsidRDefault="00F64AAD" w:rsidP="00594ADA">
      <w:pPr>
        <w:jc w:val="both"/>
      </w:pPr>
    </w:p>
    <w:p w14:paraId="27CEC534" w14:textId="42701CA1" w:rsidR="00F64AAD" w:rsidRDefault="00F64AAD" w:rsidP="00594ADA">
      <w:pPr>
        <w:jc w:val="both"/>
      </w:pPr>
    </w:p>
    <w:p w14:paraId="620723EE" w14:textId="46FA3A53" w:rsidR="00F64AAD" w:rsidRDefault="00F64AAD" w:rsidP="00594ADA">
      <w:pPr>
        <w:jc w:val="both"/>
      </w:pPr>
    </w:p>
    <w:p w14:paraId="089C6C54" w14:textId="73F494C0" w:rsidR="00F64AAD" w:rsidRDefault="00F64AAD" w:rsidP="00594ADA">
      <w:pPr>
        <w:jc w:val="both"/>
      </w:pPr>
    </w:p>
    <w:p w14:paraId="08FB7979" w14:textId="326FC3D7" w:rsidR="00F64AAD" w:rsidRDefault="00F64AAD" w:rsidP="00594ADA">
      <w:pPr>
        <w:jc w:val="both"/>
      </w:pPr>
    </w:p>
    <w:p w14:paraId="04B8E161" w14:textId="43AB0AA6" w:rsidR="00F64AAD" w:rsidRDefault="00F64AAD" w:rsidP="00594ADA">
      <w:pPr>
        <w:jc w:val="both"/>
      </w:pPr>
    </w:p>
    <w:p w14:paraId="13C455ED" w14:textId="6E2133D8" w:rsidR="00F64AAD" w:rsidRDefault="00F64AAD" w:rsidP="00594ADA">
      <w:pPr>
        <w:jc w:val="both"/>
      </w:pPr>
    </w:p>
    <w:p w14:paraId="0ACEE201" w14:textId="3DC0EFA5" w:rsidR="00F64AAD" w:rsidRDefault="00F64AAD" w:rsidP="00594ADA">
      <w:pPr>
        <w:jc w:val="both"/>
      </w:pPr>
    </w:p>
    <w:p w14:paraId="2DB65805" w14:textId="475B91CE" w:rsidR="00F64AAD" w:rsidRDefault="00F64AAD" w:rsidP="00594ADA">
      <w:pPr>
        <w:jc w:val="both"/>
      </w:pPr>
    </w:p>
    <w:p w14:paraId="1EF56B72" w14:textId="4827C590" w:rsidR="00F64AAD" w:rsidRDefault="00F64AAD" w:rsidP="00594ADA">
      <w:pPr>
        <w:jc w:val="both"/>
      </w:pPr>
    </w:p>
    <w:p w14:paraId="38D2F44A" w14:textId="0FF27F98" w:rsidR="00F64AAD" w:rsidRDefault="00F64AAD" w:rsidP="00594ADA">
      <w:pPr>
        <w:jc w:val="both"/>
      </w:pPr>
    </w:p>
    <w:p w14:paraId="6515B359" w14:textId="0C8E41F7" w:rsidR="00F64AAD" w:rsidRDefault="00F64AAD" w:rsidP="00594ADA">
      <w:pPr>
        <w:jc w:val="both"/>
      </w:pPr>
    </w:p>
    <w:p w14:paraId="48855208" w14:textId="77777777" w:rsidR="00F64AAD" w:rsidRDefault="00F64AAD" w:rsidP="00594ADA">
      <w:pPr>
        <w:jc w:val="both"/>
      </w:pPr>
    </w:p>
    <w:p w14:paraId="5A9948E5" w14:textId="77777777" w:rsidR="0063032F" w:rsidRDefault="0063032F" w:rsidP="00594ADA">
      <w:pPr>
        <w:jc w:val="both"/>
      </w:pPr>
    </w:p>
    <w:p w14:paraId="66DD1FBB" w14:textId="77777777" w:rsidR="00B87BA3" w:rsidRPr="00AB6090" w:rsidRDefault="00B87BA3" w:rsidP="00594ADA">
      <w:pPr>
        <w:jc w:val="both"/>
        <w:rPr>
          <w:rFonts w:ascii="Arial" w:eastAsia="Times New Roman" w:hAnsi="Arial" w:cs="Arial"/>
          <w:color w:val="auto"/>
          <w:sz w:val="14"/>
          <w:szCs w:val="22"/>
          <w:lang w:val="fr-BE" w:eastAsia="en-US"/>
        </w:rPr>
      </w:pPr>
    </w:p>
    <w:p w14:paraId="3BE7C20A" w14:textId="546F8678" w:rsidR="00C24640" w:rsidRPr="001A0DEC" w:rsidRDefault="00C24640" w:rsidP="00306BBD">
      <w:pPr>
        <w:pStyle w:val="Titre"/>
        <w:numPr>
          <w:ilvl w:val="0"/>
          <w:numId w:val="70"/>
        </w:numPr>
        <w:pBdr>
          <w:top w:val="single" w:sz="4" w:space="1" w:color="auto"/>
          <w:left w:val="single" w:sz="4" w:space="4" w:color="auto"/>
          <w:bottom w:val="single" w:sz="4" w:space="1" w:color="auto"/>
          <w:right w:val="single" w:sz="4" w:space="4" w:color="auto"/>
        </w:pBdr>
        <w:outlineLvl w:val="0"/>
      </w:pPr>
      <w:bookmarkStart w:id="14" w:name="_Toc56426900"/>
      <w:r w:rsidRPr="001A0DEC">
        <w:lastRenderedPageBreak/>
        <w:t>Processus</w:t>
      </w:r>
      <w:bookmarkEnd w:id="14"/>
    </w:p>
    <w:p w14:paraId="450BC024" w14:textId="22E9B152" w:rsidR="00C24640" w:rsidRPr="00AB6090" w:rsidRDefault="00C24640" w:rsidP="0063032F">
      <w:pPr>
        <w:pStyle w:val="Style2"/>
        <w:jc w:val="both"/>
        <w:outlineLvl w:val="1"/>
      </w:pPr>
      <w:bookmarkStart w:id="15" w:name="_Toc55899648"/>
      <w:bookmarkStart w:id="16" w:name="_Toc55900392"/>
      <w:bookmarkStart w:id="17" w:name="_Toc56426901"/>
      <w:r w:rsidRPr="00AB6090">
        <w:t xml:space="preserve">Information aux </w:t>
      </w:r>
      <w:r w:rsidRPr="00CE292C">
        <w:t>organisateurs</w:t>
      </w:r>
      <w:bookmarkEnd w:id="15"/>
      <w:bookmarkEnd w:id="16"/>
      <w:bookmarkEnd w:id="17"/>
    </w:p>
    <w:p w14:paraId="6ED6FBFE" w14:textId="77777777" w:rsidR="00C24640" w:rsidRPr="00AB6090" w:rsidRDefault="00C24640" w:rsidP="0063032F">
      <w:pPr>
        <w:jc w:val="both"/>
      </w:pPr>
      <w:r w:rsidRPr="00AB6090">
        <w:t>Les organisateurs de manifestations, d’événements, d’activités NE DOIVENT PAS introduire de demande d’avis directement à la Zone de Secours. Ces demandes seront introduites via les administrations communales ou le gouvernement provincial.</w:t>
      </w:r>
    </w:p>
    <w:p w14:paraId="127110BA" w14:textId="20F4323A" w:rsidR="00C24640" w:rsidRPr="00AB6090" w:rsidRDefault="00C24640" w:rsidP="0063032F">
      <w:pPr>
        <w:pStyle w:val="Style2"/>
        <w:jc w:val="both"/>
        <w:outlineLvl w:val="1"/>
      </w:pPr>
      <w:bookmarkStart w:id="18" w:name="_Toc55899649"/>
      <w:bookmarkStart w:id="19" w:name="_Toc55900393"/>
      <w:bookmarkStart w:id="20" w:name="_Toc56426902"/>
      <w:r w:rsidRPr="00B87BA3">
        <w:t>Information</w:t>
      </w:r>
      <w:r w:rsidRPr="00AB6090">
        <w:t xml:space="preserve"> aux </w:t>
      </w:r>
      <w:r w:rsidRPr="00CE292C">
        <w:t>administrations</w:t>
      </w:r>
      <w:r w:rsidRPr="00AB6090">
        <w:t xml:space="preserve"> communales et provinciales</w:t>
      </w:r>
      <w:bookmarkEnd w:id="18"/>
      <w:bookmarkEnd w:id="19"/>
      <w:bookmarkEnd w:id="20"/>
    </w:p>
    <w:p w14:paraId="4060DBCE" w14:textId="77777777" w:rsidR="00A356BD" w:rsidRPr="00AB6090" w:rsidRDefault="00A356BD" w:rsidP="0063032F">
      <w:pPr>
        <w:jc w:val="both"/>
      </w:pPr>
      <w:r w:rsidRPr="00AB6090">
        <w:t>Il appartient à la commune de demander à l’organisateur les renseignements nécessaires pour juger de l’importance de l’événement et de prendre connaissance du programme des activités, des installations mises en place et du plan de la manifestation</w:t>
      </w:r>
    </w:p>
    <w:p w14:paraId="5EDD40C8" w14:textId="77777777" w:rsidR="00F071B4" w:rsidRPr="00AB6090" w:rsidRDefault="00F071B4" w:rsidP="0063032F">
      <w:pPr>
        <w:jc w:val="both"/>
        <w:rPr>
          <w:b/>
        </w:rPr>
      </w:pPr>
      <w:r w:rsidRPr="00AB6090">
        <w:t xml:space="preserve">Certaines activités ou certains événements peuvent requérir un avis de la zone de secours. </w:t>
      </w:r>
      <w:r w:rsidRPr="00AB6090">
        <w:rPr>
          <w:b/>
        </w:rPr>
        <w:t>Des détails et des critères pour décider de demander ou non avis sont présentés dans les pages suivantes.</w:t>
      </w:r>
    </w:p>
    <w:p w14:paraId="690B156A" w14:textId="77777777" w:rsidR="00F071B4" w:rsidRPr="00AB6090" w:rsidRDefault="00F071B4" w:rsidP="0063032F">
      <w:pPr>
        <w:jc w:val="both"/>
      </w:pPr>
      <w:r w:rsidRPr="00AB6090">
        <w:t>De plus, l’avis de la zone de secours sera automatiquement demandé par la commune dans les cas suivants :</w:t>
      </w:r>
    </w:p>
    <w:p w14:paraId="69417EC3" w14:textId="77777777" w:rsidR="00F071B4" w:rsidRPr="00AB6090" w:rsidRDefault="00F071B4" w:rsidP="0063032F">
      <w:pPr>
        <w:pStyle w:val="Paragraphedeliste"/>
        <w:numPr>
          <w:ilvl w:val="0"/>
          <w:numId w:val="14"/>
        </w:numPr>
        <w:jc w:val="both"/>
      </w:pPr>
      <w:r w:rsidRPr="00AB6090">
        <w:t>Evénement rassemblant plus de 5000 personnes ;</w:t>
      </w:r>
    </w:p>
    <w:p w14:paraId="10A8F754" w14:textId="77777777" w:rsidR="00F071B4" w:rsidRPr="00AB6090" w:rsidRDefault="00F071B4" w:rsidP="0063032F">
      <w:pPr>
        <w:pStyle w:val="Paragraphedeliste"/>
        <w:numPr>
          <w:ilvl w:val="0"/>
          <w:numId w:val="14"/>
        </w:numPr>
        <w:jc w:val="both"/>
      </w:pPr>
      <w:r w:rsidRPr="00AB6090">
        <w:t>Rallye automobile ;</w:t>
      </w:r>
    </w:p>
    <w:p w14:paraId="3D2507FD" w14:textId="77777777" w:rsidR="00F071B4" w:rsidRPr="00AB6090" w:rsidRDefault="00F071B4" w:rsidP="0063032F">
      <w:pPr>
        <w:pStyle w:val="Paragraphedeliste"/>
        <w:numPr>
          <w:ilvl w:val="0"/>
          <w:numId w:val="14"/>
        </w:numPr>
        <w:jc w:val="both"/>
      </w:pPr>
      <w:r w:rsidRPr="00AB6090">
        <w:t>Evénement ayant un gros impact sur la mobilité des services de secours ou limitant l’accès des secours à certains bâtiments ;</w:t>
      </w:r>
    </w:p>
    <w:p w14:paraId="50B050C6" w14:textId="77777777" w:rsidR="00F071B4" w:rsidRPr="00AB6090" w:rsidRDefault="00F071B4" w:rsidP="0063032F">
      <w:pPr>
        <w:pStyle w:val="Paragraphedeliste"/>
        <w:numPr>
          <w:ilvl w:val="0"/>
          <w:numId w:val="14"/>
        </w:numPr>
        <w:jc w:val="both"/>
      </w:pPr>
      <w:r w:rsidRPr="00AB6090">
        <w:t>Evénement nécessitant une réunion de coordination multidisciplinaire.</w:t>
      </w:r>
    </w:p>
    <w:p w14:paraId="171789EF" w14:textId="77777777" w:rsidR="00A356BD" w:rsidRPr="00AB6090" w:rsidRDefault="00A356BD" w:rsidP="0063032F">
      <w:pPr>
        <w:jc w:val="both"/>
      </w:pPr>
      <w:r w:rsidRPr="00AB6090">
        <w:t xml:space="preserve">Les avis sont rendus par la zone de secours dans les meilleurs délais et renvoyés par mail au service </w:t>
      </w:r>
      <w:r w:rsidR="00F071B4" w:rsidRPr="00AB6090">
        <w:t xml:space="preserve">communal, provincial </w:t>
      </w:r>
      <w:r w:rsidRPr="00AB6090">
        <w:t>traitant</w:t>
      </w:r>
      <w:r w:rsidR="00F071B4" w:rsidRPr="00AB6090">
        <w:t xml:space="preserve"> (</w:t>
      </w:r>
      <w:r w:rsidR="00F071B4" w:rsidRPr="00AB6090">
        <w:rPr>
          <w:b/>
        </w:rPr>
        <w:t>et pas à l’organisateur de la manifestation</w:t>
      </w:r>
      <w:r w:rsidR="00F071B4" w:rsidRPr="00AB6090">
        <w:t>)</w:t>
      </w:r>
      <w:r w:rsidRPr="00AB6090">
        <w:t>.</w:t>
      </w:r>
    </w:p>
    <w:p w14:paraId="7D134CAB" w14:textId="77777777" w:rsidR="00A356BD" w:rsidRPr="00AB6090" w:rsidRDefault="00A356BD" w:rsidP="0063032F">
      <w:pPr>
        <w:jc w:val="both"/>
      </w:pPr>
      <w:r w:rsidRPr="00AB6090">
        <w:t>Il est alors demandé au service traitant de renvoyer la délibération du Collège/Conseil/Bourgmestre/Gouverneur quant à l’autorisation ou non d’organisation de l’événement.</w:t>
      </w:r>
    </w:p>
    <w:p w14:paraId="68713AD3" w14:textId="77777777" w:rsidR="00A356BD" w:rsidRPr="00AB6090" w:rsidRDefault="00A356BD" w:rsidP="0063032F">
      <w:pPr>
        <w:jc w:val="both"/>
        <w:rPr>
          <w:b/>
        </w:rPr>
      </w:pPr>
      <w:r w:rsidRPr="00AB6090">
        <w:rPr>
          <w:b/>
        </w:rPr>
        <w:t xml:space="preserve">Si un contrôle des installations est demandé par l’autorité (communale, provinciale, …), elle sera signifiée dans la délibération du Collège/Conseil/Bourgmestre/Gouverneur, pour autant qu’une demande d’avis ait été demandée préalablement à la zone de secours. </w:t>
      </w:r>
    </w:p>
    <w:p w14:paraId="5AEA907C" w14:textId="77777777" w:rsidR="00F071B4" w:rsidRPr="00AB6090" w:rsidRDefault="00F071B4" w:rsidP="0063032F">
      <w:pPr>
        <w:jc w:val="both"/>
        <w:rPr>
          <w:b/>
        </w:rPr>
      </w:pPr>
      <w:r w:rsidRPr="00AB6090">
        <w:rPr>
          <w:b/>
        </w:rPr>
        <w:t>Si une infraction grave est détectée lors de la visite de contrôle sur site, elle sera transmise directement à l’autorité communale, provinciale qui prendra la décision d’autoriser ou pas la manifestation.</w:t>
      </w:r>
    </w:p>
    <w:p w14:paraId="73B5CB19" w14:textId="50A56E8E" w:rsidR="00A356BD" w:rsidRDefault="00A356BD" w:rsidP="0063032F">
      <w:pPr>
        <w:widowControl w:val="0"/>
        <w:autoSpaceDE w:val="0"/>
        <w:autoSpaceDN w:val="0"/>
        <w:adjustRightInd w:val="0"/>
        <w:spacing w:line="259" w:lineRule="auto"/>
        <w:contextualSpacing/>
        <w:jc w:val="both"/>
        <w:rPr>
          <w:b/>
        </w:rPr>
      </w:pPr>
      <w:r w:rsidRPr="00AB6090">
        <w:rPr>
          <w:b/>
          <w:u w:val="single"/>
        </w:rPr>
        <w:t>Le contrôle</w:t>
      </w:r>
      <w:r w:rsidR="00565ACC" w:rsidRPr="00AB6090">
        <w:rPr>
          <w:b/>
          <w:u w:val="single"/>
        </w:rPr>
        <w:t xml:space="preserve"> préalable</w:t>
      </w:r>
      <w:r w:rsidRPr="00AB6090">
        <w:rPr>
          <w:b/>
          <w:u w:val="single"/>
        </w:rPr>
        <w:t xml:space="preserve"> des installations</w:t>
      </w:r>
      <w:r w:rsidRPr="00AB6090">
        <w:rPr>
          <w:b/>
        </w:rPr>
        <w:t xml:space="preserve"> </w:t>
      </w:r>
      <w:r w:rsidR="00565ACC" w:rsidRPr="00AB6090">
        <w:rPr>
          <w:b/>
        </w:rPr>
        <w:t xml:space="preserve">(chapiteaux, scènes, grand feux, brocantes, …) </w:t>
      </w:r>
      <w:r w:rsidRPr="00AB6090">
        <w:rPr>
          <w:b/>
        </w:rPr>
        <w:t>est soumis au règlement taxe de la zone de secours (facturation à l’organisateur).</w:t>
      </w:r>
    </w:p>
    <w:p w14:paraId="758F29A1" w14:textId="3DA8EAAD" w:rsidR="001A0DEC" w:rsidRDefault="001A0DEC" w:rsidP="0063032F">
      <w:pPr>
        <w:widowControl w:val="0"/>
        <w:autoSpaceDE w:val="0"/>
        <w:autoSpaceDN w:val="0"/>
        <w:adjustRightInd w:val="0"/>
        <w:spacing w:line="259" w:lineRule="auto"/>
        <w:contextualSpacing/>
        <w:jc w:val="both"/>
        <w:rPr>
          <w:b/>
        </w:rPr>
      </w:pPr>
    </w:p>
    <w:p w14:paraId="143FCCA9" w14:textId="6E9B32C1" w:rsidR="00F64AAD" w:rsidRDefault="00F64AAD" w:rsidP="0063032F">
      <w:pPr>
        <w:widowControl w:val="0"/>
        <w:autoSpaceDE w:val="0"/>
        <w:autoSpaceDN w:val="0"/>
        <w:adjustRightInd w:val="0"/>
        <w:spacing w:line="259" w:lineRule="auto"/>
        <w:contextualSpacing/>
        <w:jc w:val="both"/>
        <w:rPr>
          <w:b/>
        </w:rPr>
      </w:pPr>
    </w:p>
    <w:p w14:paraId="52F6FB44" w14:textId="681241EF" w:rsidR="00F64AAD" w:rsidRDefault="00F64AAD" w:rsidP="0063032F">
      <w:pPr>
        <w:widowControl w:val="0"/>
        <w:autoSpaceDE w:val="0"/>
        <w:autoSpaceDN w:val="0"/>
        <w:adjustRightInd w:val="0"/>
        <w:spacing w:line="259" w:lineRule="auto"/>
        <w:contextualSpacing/>
        <w:jc w:val="both"/>
        <w:rPr>
          <w:b/>
        </w:rPr>
      </w:pPr>
    </w:p>
    <w:p w14:paraId="1F784CB0" w14:textId="6522ADC3" w:rsidR="00F64AAD" w:rsidRDefault="00F64AAD" w:rsidP="0063032F">
      <w:pPr>
        <w:widowControl w:val="0"/>
        <w:autoSpaceDE w:val="0"/>
        <w:autoSpaceDN w:val="0"/>
        <w:adjustRightInd w:val="0"/>
        <w:spacing w:line="259" w:lineRule="auto"/>
        <w:contextualSpacing/>
        <w:jc w:val="both"/>
        <w:rPr>
          <w:b/>
        </w:rPr>
      </w:pPr>
    </w:p>
    <w:p w14:paraId="7E710A05" w14:textId="519A6F81" w:rsidR="00F64AAD" w:rsidRDefault="00F64AAD" w:rsidP="0063032F">
      <w:pPr>
        <w:widowControl w:val="0"/>
        <w:autoSpaceDE w:val="0"/>
        <w:autoSpaceDN w:val="0"/>
        <w:adjustRightInd w:val="0"/>
        <w:spacing w:line="259" w:lineRule="auto"/>
        <w:contextualSpacing/>
        <w:jc w:val="both"/>
        <w:rPr>
          <w:b/>
        </w:rPr>
      </w:pPr>
    </w:p>
    <w:p w14:paraId="2CB49449" w14:textId="26A987FE" w:rsidR="00F64AAD" w:rsidRDefault="00F64AAD" w:rsidP="0063032F">
      <w:pPr>
        <w:widowControl w:val="0"/>
        <w:autoSpaceDE w:val="0"/>
        <w:autoSpaceDN w:val="0"/>
        <w:adjustRightInd w:val="0"/>
        <w:spacing w:line="259" w:lineRule="auto"/>
        <w:contextualSpacing/>
        <w:jc w:val="both"/>
        <w:rPr>
          <w:b/>
        </w:rPr>
      </w:pPr>
    </w:p>
    <w:p w14:paraId="50D2DC16" w14:textId="44521667" w:rsidR="00F64AAD" w:rsidRDefault="00F64AAD" w:rsidP="0063032F">
      <w:pPr>
        <w:widowControl w:val="0"/>
        <w:autoSpaceDE w:val="0"/>
        <w:autoSpaceDN w:val="0"/>
        <w:adjustRightInd w:val="0"/>
        <w:spacing w:line="259" w:lineRule="auto"/>
        <w:contextualSpacing/>
        <w:jc w:val="both"/>
        <w:rPr>
          <w:b/>
        </w:rPr>
      </w:pPr>
    </w:p>
    <w:p w14:paraId="1C32422A" w14:textId="4F210971" w:rsidR="00F64AAD" w:rsidRDefault="00F64AAD" w:rsidP="0063032F">
      <w:pPr>
        <w:widowControl w:val="0"/>
        <w:autoSpaceDE w:val="0"/>
        <w:autoSpaceDN w:val="0"/>
        <w:adjustRightInd w:val="0"/>
        <w:spacing w:line="259" w:lineRule="auto"/>
        <w:contextualSpacing/>
        <w:jc w:val="both"/>
        <w:rPr>
          <w:b/>
        </w:rPr>
      </w:pPr>
    </w:p>
    <w:p w14:paraId="7AE30456" w14:textId="77777777" w:rsidR="0063032F" w:rsidRDefault="0063032F" w:rsidP="0063032F">
      <w:pPr>
        <w:widowControl w:val="0"/>
        <w:autoSpaceDE w:val="0"/>
        <w:autoSpaceDN w:val="0"/>
        <w:adjustRightInd w:val="0"/>
        <w:spacing w:line="259" w:lineRule="auto"/>
        <w:contextualSpacing/>
        <w:jc w:val="both"/>
        <w:rPr>
          <w:b/>
        </w:rPr>
      </w:pPr>
    </w:p>
    <w:p w14:paraId="722A45C2" w14:textId="77777777" w:rsidR="0063032F" w:rsidRDefault="0063032F" w:rsidP="0063032F">
      <w:pPr>
        <w:widowControl w:val="0"/>
        <w:autoSpaceDE w:val="0"/>
        <w:autoSpaceDN w:val="0"/>
        <w:adjustRightInd w:val="0"/>
        <w:spacing w:line="259" w:lineRule="auto"/>
        <w:contextualSpacing/>
        <w:jc w:val="both"/>
        <w:rPr>
          <w:b/>
        </w:rPr>
      </w:pPr>
    </w:p>
    <w:p w14:paraId="5AC320AE" w14:textId="77777777" w:rsidR="0063032F" w:rsidRDefault="0063032F" w:rsidP="0063032F">
      <w:pPr>
        <w:widowControl w:val="0"/>
        <w:autoSpaceDE w:val="0"/>
        <w:autoSpaceDN w:val="0"/>
        <w:adjustRightInd w:val="0"/>
        <w:spacing w:line="259" w:lineRule="auto"/>
        <w:contextualSpacing/>
        <w:jc w:val="both"/>
        <w:rPr>
          <w:b/>
        </w:rPr>
      </w:pPr>
    </w:p>
    <w:p w14:paraId="0AC9A122" w14:textId="77777777" w:rsidR="0063032F" w:rsidRDefault="0063032F" w:rsidP="0063032F">
      <w:pPr>
        <w:widowControl w:val="0"/>
        <w:autoSpaceDE w:val="0"/>
        <w:autoSpaceDN w:val="0"/>
        <w:adjustRightInd w:val="0"/>
        <w:spacing w:line="259" w:lineRule="auto"/>
        <w:contextualSpacing/>
        <w:jc w:val="both"/>
        <w:rPr>
          <w:b/>
        </w:rPr>
      </w:pPr>
    </w:p>
    <w:p w14:paraId="74375ABB" w14:textId="77777777" w:rsidR="0063032F" w:rsidRDefault="0063032F" w:rsidP="0063032F">
      <w:pPr>
        <w:widowControl w:val="0"/>
        <w:autoSpaceDE w:val="0"/>
        <w:autoSpaceDN w:val="0"/>
        <w:adjustRightInd w:val="0"/>
        <w:spacing w:line="259" w:lineRule="auto"/>
        <w:contextualSpacing/>
        <w:jc w:val="both"/>
        <w:rPr>
          <w:b/>
        </w:rPr>
      </w:pPr>
    </w:p>
    <w:p w14:paraId="41741921" w14:textId="1DF4E21A" w:rsidR="00F64AAD" w:rsidRDefault="00F64AAD" w:rsidP="0063032F">
      <w:pPr>
        <w:widowControl w:val="0"/>
        <w:autoSpaceDE w:val="0"/>
        <w:autoSpaceDN w:val="0"/>
        <w:adjustRightInd w:val="0"/>
        <w:spacing w:line="259" w:lineRule="auto"/>
        <w:contextualSpacing/>
        <w:jc w:val="both"/>
        <w:rPr>
          <w:b/>
        </w:rPr>
      </w:pPr>
    </w:p>
    <w:p w14:paraId="5692D47D" w14:textId="59EE9F78" w:rsidR="00F64AAD" w:rsidRDefault="00F64AAD" w:rsidP="0063032F">
      <w:pPr>
        <w:widowControl w:val="0"/>
        <w:autoSpaceDE w:val="0"/>
        <w:autoSpaceDN w:val="0"/>
        <w:adjustRightInd w:val="0"/>
        <w:spacing w:line="259" w:lineRule="auto"/>
        <w:contextualSpacing/>
        <w:jc w:val="both"/>
        <w:rPr>
          <w:b/>
        </w:rPr>
      </w:pPr>
    </w:p>
    <w:p w14:paraId="32689330" w14:textId="70E3750C" w:rsidR="00F64AAD" w:rsidRDefault="00F64AAD" w:rsidP="0063032F">
      <w:pPr>
        <w:widowControl w:val="0"/>
        <w:autoSpaceDE w:val="0"/>
        <w:autoSpaceDN w:val="0"/>
        <w:adjustRightInd w:val="0"/>
        <w:spacing w:line="259" w:lineRule="auto"/>
        <w:contextualSpacing/>
        <w:jc w:val="both"/>
        <w:rPr>
          <w:b/>
        </w:rPr>
      </w:pPr>
    </w:p>
    <w:p w14:paraId="610E3AAE" w14:textId="79EDFFA5" w:rsidR="00F64AAD" w:rsidRDefault="00F64AAD" w:rsidP="0063032F">
      <w:pPr>
        <w:widowControl w:val="0"/>
        <w:autoSpaceDE w:val="0"/>
        <w:autoSpaceDN w:val="0"/>
        <w:adjustRightInd w:val="0"/>
        <w:spacing w:line="259" w:lineRule="auto"/>
        <w:contextualSpacing/>
        <w:jc w:val="both"/>
        <w:rPr>
          <w:b/>
        </w:rPr>
      </w:pPr>
    </w:p>
    <w:p w14:paraId="3A75665C" w14:textId="44E4B65B" w:rsidR="00F64AAD" w:rsidRDefault="00F64AAD" w:rsidP="0063032F">
      <w:pPr>
        <w:widowControl w:val="0"/>
        <w:autoSpaceDE w:val="0"/>
        <w:autoSpaceDN w:val="0"/>
        <w:adjustRightInd w:val="0"/>
        <w:spacing w:line="259" w:lineRule="auto"/>
        <w:contextualSpacing/>
        <w:jc w:val="both"/>
        <w:rPr>
          <w:b/>
        </w:rPr>
      </w:pPr>
    </w:p>
    <w:p w14:paraId="1534A038" w14:textId="1EF3520C" w:rsidR="00F64AAD" w:rsidRDefault="00F64AAD" w:rsidP="0063032F">
      <w:pPr>
        <w:widowControl w:val="0"/>
        <w:autoSpaceDE w:val="0"/>
        <w:autoSpaceDN w:val="0"/>
        <w:adjustRightInd w:val="0"/>
        <w:spacing w:line="259" w:lineRule="auto"/>
        <w:contextualSpacing/>
        <w:jc w:val="both"/>
        <w:rPr>
          <w:b/>
        </w:rPr>
      </w:pPr>
    </w:p>
    <w:p w14:paraId="29D07E48" w14:textId="77777777" w:rsidR="0063032F" w:rsidRDefault="0063032F" w:rsidP="0063032F">
      <w:pPr>
        <w:widowControl w:val="0"/>
        <w:autoSpaceDE w:val="0"/>
        <w:autoSpaceDN w:val="0"/>
        <w:adjustRightInd w:val="0"/>
        <w:spacing w:line="259" w:lineRule="auto"/>
        <w:contextualSpacing/>
        <w:jc w:val="both"/>
        <w:rPr>
          <w:b/>
        </w:rPr>
      </w:pPr>
    </w:p>
    <w:p w14:paraId="3E89498D" w14:textId="77777777" w:rsidR="0063032F" w:rsidRDefault="0063032F" w:rsidP="0063032F">
      <w:pPr>
        <w:widowControl w:val="0"/>
        <w:autoSpaceDE w:val="0"/>
        <w:autoSpaceDN w:val="0"/>
        <w:adjustRightInd w:val="0"/>
        <w:spacing w:line="259" w:lineRule="auto"/>
        <w:contextualSpacing/>
        <w:jc w:val="both"/>
        <w:rPr>
          <w:b/>
        </w:rPr>
      </w:pPr>
    </w:p>
    <w:p w14:paraId="33D7854F" w14:textId="77777777" w:rsidR="0063032F" w:rsidRDefault="0063032F" w:rsidP="0063032F">
      <w:pPr>
        <w:widowControl w:val="0"/>
        <w:autoSpaceDE w:val="0"/>
        <w:autoSpaceDN w:val="0"/>
        <w:adjustRightInd w:val="0"/>
        <w:spacing w:line="259" w:lineRule="auto"/>
        <w:contextualSpacing/>
        <w:jc w:val="both"/>
        <w:rPr>
          <w:b/>
        </w:rPr>
      </w:pPr>
    </w:p>
    <w:p w14:paraId="779F57B2" w14:textId="36F4307D" w:rsidR="00F64AAD" w:rsidRDefault="00F64AAD" w:rsidP="0063032F">
      <w:pPr>
        <w:widowControl w:val="0"/>
        <w:autoSpaceDE w:val="0"/>
        <w:autoSpaceDN w:val="0"/>
        <w:adjustRightInd w:val="0"/>
        <w:spacing w:line="259" w:lineRule="auto"/>
        <w:contextualSpacing/>
        <w:jc w:val="both"/>
        <w:rPr>
          <w:b/>
        </w:rPr>
      </w:pPr>
    </w:p>
    <w:p w14:paraId="0AA0BFC8" w14:textId="77777777" w:rsidR="0063032F" w:rsidRDefault="0063032F" w:rsidP="0063032F">
      <w:pPr>
        <w:widowControl w:val="0"/>
        <w:autoSpaceDE w:val="0"/>
        <w:autoSpaceDN w:val="0"/>
        <w:adjustRightInd w:val="0"/>
        <w:spacing w:line="259" w:lineRule="auto"/>
        <w:contextualSpacing/>
        <w:jc w:val="both"/>
        <w:rPr>
          <w:b/>
        </w:rPr>
      </w:pPr>
    </w:p>
    <w:p w14:paraId="53EA1B45" w14:textId="77777777" w:rsidR="0063032F" w:rsidRDefault="0063032F" w:rsidP="0063032F">
      <w:pPr>
        <w:widowControl w:val="0"/>
        <w:autoSpaceDE w:val="0"/>
        <w:autoSpaceDN w:val="0"/>
        <w:adjustRightInd w:val="0"/>
        <w:spacing w:line="259" w:lineRule="auto"/>
        <w:contextualSpacing/>
        <w:jc w:val="both"/>
        <w:rPr>
          <w:b/>
        </w:rPr>
      </w:pPr>
    </w:p>
    <w:p w14:paraId="50F509BF" w14:textId="6383B229" w:rsidR="00F64AAD" w:rsidRDefault="00F64AAD" w:rsidP="0063032F">
      <w:pPr>
        <w:widowControl w:val="0"/>
        <w:autoSpaceDE w:val="0"/>
        <w:autoSpaceDN w:val="0"/>
        <w:adjustRightInd w:val="0"/>
        <w:spacing w:line="259" w:lineRule="auto"/>
        <w:contextualSpacing/>
        <w:jc w:val="both"/>
        <w:rPr>
          <w:b/>
        </w:rPr>
      </w:pPr>
    </w:p>
    <w:p w14:paraId="4E56BD90" w14:textId="77777777" w:rsidR="00F64AAD" w:rsidRPr="00AB6090" w:rsidRDefault="00F64AAD" w:rsidP="0063032F">
      <w:pPr>
        <w:widowControl w:val="0"/>
        <w:autoSpaceDE w:val="0"/>
        <w:autoSpaceDN w:val="0"/>
        <w:adjustRightInd w:val="0"/>
        <w:spacing w:line="259" w:lineRule="auto"/>
        <w:contextualSpacing/>
        <w:jc w:val="both"/>
        <w:rPr>
          <w:b/>
        </w:rPr>
      </w:pPr>
    </w:p>
    <w:p w14:paraId="727F4B1B" w14:textId="06A95216" w:rsidR="00A64838" w:rsidRPr="001A0DEC" w:rsidRDefault="00A64838" w:rsidP="0063032F">
      <w:pPr>
        <w:pStyle w:val="Titre"/>
        <w:numPr>
          <w:ilvl w:val="0"/>
          <w:numId w:val="71"/>
        </w:numPr>
        <w:pBdr>
          <w:top w:val="single" w:sz="4" w:space="1" w:color="auto"/>
          <w:left w:val="single" w:sz="4" w:space="4" w:color="auto"/>
          <w:bottom w:val="single" w:sz="4" w:space="1" w:color="auto"/>
          <w:right w:val="single" w:sz="4" w:space="4" w:color="auto"/>
        </w:pBdr>
        <w:jc w:val="both"/>
        <w:outlineLvl w:val="0"/>
      </w:pPr>
      <w:bookmarkStart w:id="21" w:name="_Toc56426903"/>
      <w:r w:rsidRPr="001A0DEC">
        <w:lastRenderedPageBreak/>
        <w:t>Procédure de contact, délais et forme de la demande</w:t>
      </w:r>
      <w:bookmarkEnd w:id="21"/>
    </w:p>
    <w:p w14:paraId="18714D1D" w14:textId="1419E713" w:rsidR="00A64838" w:rsidRPr="00AB6090" w:rsidRDefault="00A64838" w:rsidP="0063032F">
      <w:pPr>
        <w:pStyle w:val="Style2"/>
        <w:numPr>
          <w:ilvl w:val="1"/>
          <w:numId w:val="70"/>
        </w:numPr>
        <w:jc w:val="both"/>
        <w:outlineLvl w:val="1"/>
      </w:pPr>
      <w:bookmarkStart w:id="22" w:name="_Toc55899650"/>
      <w:bookmarkStart w:id="23" w:name="_Toc55900394"/>
      <w:bookmarkStart w:id="24" w:name="_Toc56426904"/>
      <w:r w:rsidRPr="00AB6090">
        <w:t>Adresse de contact</w:t>
      </w:r>
      <w:bookmarkEnd w:id="22"/>
      <w:bookmarkEnd w:id="23"/>
      <w:bookmarkEnd w:id="24"/>
    </w:p>
    <w:p w14:paraId="4DA80037" w14:textId="77777777" w:rsidR="00A64838" w:rsidRPr="00AB6090" w:rsidRDefault="00A64838" w:rsidP="0063032F">
      <w:pPr>
        <w:jc w:val="both"/>
      </w:pPr>
      <w:r w:rsidRPr="00AB6090">
        <w:t xml:space="preserve">L’ensemble des questions traitées dans ce mémento sont traitées par le service EVENT de la zone de secours. </w:t>
      </w:r>
    </w:p>
    <w:p w14:paraId="411D1E0A" w14:textId="2805EE56" w:rsidR="00A64838" w:rsidRPr="00AB6090" w:rsidRDefault="00A64838" w:rsidP="0063032F">
      <w:pPr>
        <w:jc w:val="both"/>
      </w:pPr>
      <w:r w:rsidRPr="00AB6090">
        <w:t>Pour tout contact avec le service EVENT</w:t>
      </w:r>
      <w:r w:rsidR="00140063">
        <w:t xml:space="preserve"> </w:t>
      </w:r>
      <w:r w:rsidRPr="00AB6090">
        <w:t xml:space="preserve">de la zone de secours, envoyer un mail à </w:t>
      </w:r>
      <w:hyperlink r:id="rId16" w:history="1">
        <w:r w:rsidRPr="00AB6090">
          <w:rPr>
            <w:rStyle w:val="Lienhypertexte"/>
          </w:rPr>
          <w:t>event@zsdinaphi.be</w:t>
        </w:r>
      </w:hyperlink>
      <w:r w:rsidRPr="00AB6090">
        <w:t xml:space="preserve"> . </w:t>
      </w:r>
    </w:p>
    <w:p w14:paraId="15163A3B" w14:textId="613C9929" w:rsidR="00A64838" w:rsidRPr="00AB6090" w:rsidRDefault="00A64838" w:rsidP="0063032F">
      <w:pPr>
        <w:jc w:val="both"/>
      </w:pPr>
      <w:r w:rsidRPr="00AB6090">
        <w:t xml:space="preserve"> SAUF pour </w:t>
      </w:r>
      <w:r w:rsidRPr="00AB6090">
        <w:rPr>
          <w:u w:val="single"/>
        </w:rPr>
        <w:t xml:space="preserve">les demandes de visites de prévention liées à l’avis de conformité des salles de </w:t>
      </w:r>
      <w:r w:rsidR="00140063" w:rsidRPr="00AB6090">
        <w:rPr>
          <w:u w:val="single"/>
        </w:rPr>
        <w:t>fêtes (</w:t>
      </w:r>
      <w:r w:rsidRPr="00AB6090">
        <w:t xml:space="preserve">§5), dans ce cas il faut contacter le service prévention à l’adresse : </w:t>
      </w:r>
      <w:hyperlink r:id="rId17" w:history="1">
        <w:r w:rsidRPr="00AB6090">
          <w:rPr>
            <w:rStyle w:val="Lienhypertexte"/>
          </w:rPr>
          <w:t>prevention@zsdinaphi.be</w:t>
        </w:r>
      </w:hyperlink>
      <w:r w:rsidRPr="00AB6090">
        <w:t xml:space="preserve"> </w:t>
      </w:r>
    </w:p>
    <w:p w14:paraId="10C49FAF" w14:textId="231755C4" w:rsidR="00A64838" w:rsidRPr="00AB6090" w:rsidRDefault="00A64838" w:rsidP="0063032F">
      <w:pPr>
        <w:pStyle w:val="Style2"/>
        <w:numPr>
          <w:ilvl w:val="1"/>
          <w:numId w:val="70"/>
        </w:numPr>
        <w:jc w:val="both"/>
        <w:outlineLvl w:val="1"/>
      </w:pPr>
      <w:bookmarkStart w:id="25" w:name="_Toc55899651"/>
      <w:bookmarkStart w:id="26" w:name="_Toc55900395"/>
      <w:bookmarkStart w:id="27" w:name="_Toc56426905"/>
      <w:r w:rsidRPr="00AB6090">
        <w:t>Délais</w:t>
      </w:r>
      <w:bookmarkEnd w:id="25"/>
      <w:bookmarkEnd w:id="26"/>
      <w:bookmarkEnd w:id="27"/>
    </w:p>
    <w:p w14:paraId="622EC388" w14:textId="77777777" w:rsidR="00A64838" w:rsidRPr="00AB6090" w:rsidRDefault="00A64838" w:rsidP="0063032F">
      <w:pPr>
        <w:jc w:val="both"/>
      </w:pPr>
      <w:r w:rsidRPr="00AB6090">
        <w:t>Pour être traitée, votre demande devra parvenir au service planification dans les délais suivants :</w:t>
      </w:r>
    </w:p>
    <w:tbl>
      <w:tblPr>
        <w:tblStyle w:val="Grilledutableau"/>
        <w:tblW w:w="0" w:type="auto"/>
        <w:tblLook w:val="04A0" w:firstRow="1" w:lastRow="0" w:firstColumn="1" w:lastColumn="0" w:noHBand="0" w:noVBand="1"/>
      </w:tblPr>
      <w:tblGrid>
        <w:gridCol w:w="5220"/>
        <w:gridCol w:w="5220"/>
      </w:tblGrid>
      <w:tr w:rsidR="00A64838" w:rsidRPr="00AB6090" w14:paraId="4AD94893" w14:textId="77777777" w:rsidTr="00A64838">
        <w:trPr>
          <w:trHeight w:val="448"/>
        </w:trPr>
        <w:tc>
          <w:tcPr>
            <w:tcW w:w="5220" w:type="dxa"/>
            <w:shd w:val="clear" w:color="auto" w:fill="D9D9D9" w:themeFill="background1" w:themeFillShade="D9"/>
          </w:tcPr>
          <w:p w14:paraId="371012C5" w14:textId="77777777" w:rsidR="00A64838" w:rsidRPr="00AB6090" w:rsidRDefault="00A64838" w:rsidP="0063032F">
            <w:pPr>
              <w:jc w:val="both"/>
              <w:rPr>
                <w:b/>
              </w:rPr>
            </w:pPr>
            <w:r w:rsidRPr="00AB6090">
              <w:rPr>
                <w:b/>
              </w:rPr>
              <w:t>Type d’événement</w:t>
            </w:r>
          </w:p>
        </w:tc>
        <w:tc>
          <w:tcPr>
            <w:tcW w:w="5220" w:type="dxa"/>
            <w:shd w:val="clear" w:color="auto" w:fill="D9D9D9" w:themeFill="background1" w:themeFillShade="D9"/>
          </w:tcPr>
          <w:p w14:paraId="7EACEBA6" w14:textId="77777777" w:rsidR="00A64838" w:rsidRPr="00AB6090" w:rsidRDefault="00A64838" w:rsidP="0063032F">
            <w:pPr>
              <w:jc w:val="both"/>
              <w:rPr>
                <w:b/>
              </w:rPr>
            </w:pPr>
            <w:r w:rsidRPr="00AB6090">
              <w:rPr>
                <w:b/>
              </w:rPr>
              <w:t>Délai</w:t>
            </w:r>
          </w:p>
        </w:tc>
      </w:tr>
      <w:tr w:rsidR="00A64838" w:rsidRPr="00AB6090" w14:paraId="2784417B" w14:textId="77777777" w:rsidTr="00A64838">
        <w:trPr>
          <w:trHeight w:val="448"/>
        </w:trPr>
        <w:tc>
          <w:tcPr>
            <w:tcW w:w="5220" w:type="dxa"/>
          </w:tcPr>
          <w:p w14:paraId="0CC20041" w14:textId="77777777" w:rsidR="00A64838" w:rsidRPr="00AB6090" w:rsidRDefault="00A64838" w:rsidP="0063032F">
            <w:pPr>
              <w:tabs>
                <w:tab w:val="left" w:pos="1752"/>
              </w:tabs>
              <w:jc w:val="both"/>
            </w:pPr>
            <w:r w:rsidRPr="00AB6090">
              <w:t>Festivité en salle (§5)</w:t>
            </w:r>
          </w:p>
        </w:tc>
        <w:tc>
          <w:tcPr>
            <w:tcW w:w="5220" w:type="dxa"/>
          </w:tcPr>
          <w:p w14:paraId="099070B8" w14:textId="77777777" w:rsidR="00A64838" w:rsidRPr="00AB6090" w:rsidRDefault="00A64838" w:rsidP="0063032F">
            <w:pPr>
              <w:jc w:val="both"/>
            </w:pPr>
            <w:r w:rsidRPr="00AB6090">
              <w:t xml:space="preserve">2 semaines </w:t>
            </w:r>
          </w:p>
          <w:p w14:paraId="0540F1AE" w14:textId="77777777" w:rsidR="00A64838" w:rsidRPr="00AB6090" w:rsidRDefault="00A64838" w:rsidP="0063032F">
            <w:pPr>
              <w:jc w:val="both"/>
            </w:pPr>
            <w:r w:rsidRPr="00AB6090">
              <w:t>Attention, une demande de visite de prévention d’une salle de fête sera traitée dans les 6 semaines</w:t>
            </w:r>
          </w:p>
        </w:tc>
      </w:tr>
      <w:tr w:rsidR="00A64838" w:rsidRPr="00AB6090" w14:paraId="15C43CC5" w14:textId="77777777" w:rsidTr="00A64838">
        <w:trPr>
          <w:trHeight w:val="448"/>
        </w:trPr>
        <w:tc>
          <w:tcPr>
            <w:tcW w:w="5220" w:type="dxa"/>
          </w:tcPr>
          <w:p w14:paraId="17D0D80A" w14:textId="77777777" w:rsidR="00A64838" w:rsidRPr="00AB6090" w:rsidRDefault="00A64838" w:rsidP="0063032F">
            <w:pPr>
              <w:jc w:val="both"/>
            </w:pPr>
            <w:r w:rsidRPr="00AB6090">
              <w:t>Evénement « standard »</w:t>
            </w:r>
          </w:p>
        </w:tc>
        <w:tc>
          <w:tcPr>
            <w:tcW w:w="5220" w:type="dxa"/>
          </w:tcPr>
          <w:p w14:paraId="41FCAEA1" w14:textId="77777777" w:rsidR="00A64838" w:rsidRPr="00AB6090" w:rsidRDefault="00A64838" w:rsidP="0063032F">
            <w:pPr>
              <w:jc w:val="both"/>
            </w:pPr>
            <w:r w:rsidRPr="00AB6090">
              <w:t>1 mois</w:t>
            </w:r>
          </w:p>
        </w:tc>
      </w:tr>
      <w:tr w:rsidR="00A64838" w:rsidRPr="00AB6090" w14:paraId="717BCEE6" w14:textId="77777777" w:rsidTr="00A64838">
        <w:trPr>
          <w:trHeight w:val="448"/>
        </w:trPr>
        <w:tc>
          <w:tcPr>
            <w:tcW w:w="5220" w:type="dxa"/>
          </w:tcPr>
          <w:p w14:paraId="245C02B9" w14:textId="77777777" w:rsidR="00A64838" w:rsidRPr="00AB6090" w:rsidRDefault="00A64838" w:rsidP="0063032F">
            <w:pPr>
              <w:jc w:val="both"/>
            </w:pPr>
            <w:r w:rsidRPr="00AB6090">
              <w:t>Evénement de grande ampleur (par exemple : rallye auto, festivité rassemblant plus 5000 personnes, événement ayant de gros impacts sur la mobilité à l’échelle au moins d’un quartier, …)</w:t>
            </w:r>
          </w:p>
        </w:tc>
        <w:tc>
          <w:tcPr>
            <w:tcW w:w="5220" w:type="dxa"/>
          </w:tcPr>
          <w:p w14:paraId="78E12CAD" w14:textId="77777777" w:rsidR="00A64838" w:rsidRPr="00AB6090" w:rsidRDefault="00A64838" w:rsidP="0063032F">
            <w:pPr>
              <w:jc w:val="both"/>
            </w:pPr>
            <w:r w:rsidRPr="00AB6090">
              <w:t>3 mois</w:t>
            </w:r>
          </w:p>
        </w:tc>
      </w:tr>
      <w:tr w:rsidR="00A64838" w:rsidRPr="00AB6090" w14:paraId="6AE84DBD" w14:textId="77777777" w:rsidTr="00A64838">
        <w:trPr>
          <w:trHeight w:val="448"/>
        </w:trPr>
        <w:tc>
          <w:tcPr>
            <w:tcW w:w="5220" w:type="dxa"/>
          </w:tcPr>
          <w:p w14:paraId="35BD36AE" w14:textId="77777777" w:rsidR="00A64838" w:rsidRPr="00AB6090" w:rsidRDefault="00A64838" w:rsidP="0063032F">
            <w:pPr>
              <w:jc w:val="both"/>
            </w:pPr>
            <w:r w:rsidRPr="00AB6090">
              <w:t>Demande de visite de prévention dans un chapiteau afin de vérifier la conformité de celui-ci avant l’ouverture au public</w:t>
            </w:r>
          </w:p>
        </w:tc>
        <w:tc>
          <w:tcPr>
            <w:tcW w:w="5220" w:type="dxa"/>
          </w:tcPr>
          <w:p w14:paraId="36E7850E" w14:textId="77777777" w:rsidR="00A64838" w:rsidRPr="00AB6090" w:rsidRDefault="00A64838" w:rsidP="0063032F">
            <w:pPr>
              <w:jc w:val="both"/>
            </w:pPr>
            <w:r w:rsidRPr="00AB6090">
              <w:t>Min 15 jours avant l’événement</w:t>
            </w:r>
          </w:p>
        </w:tc>
      </w:tr>
    </w:tbl>
    <w:p w14:paraId="6CFB3BD3" w14:textId="77777777" w:rsidR="00A64838" w:rsidRPr="00AB6090" w:rsidRDefault="00A64838" w:rsidP="0063032F">
      <w:pPr>
        <w:jc w:val="both"/>
      </w:pPr>
    </w:p>
    <w:p w14:paraId="7D330AB4" w14:textId="77777777" w:rsidR="00A64838" w:rsidRPr="00AB6090" w:rsidRDefault="00A64838" w:rsidP="0063032F">
      <w:pPr>
        <w:jc w:val="both"/>
      </w:pPr>
      <w:r w:rsidRPr="00AB6090">
        <w:t>Si ces délais ne sont pas respectés, la zone de secours ne peut pas vous garantir une réponse avant la tenue de l’événement</w:t>
      </w:r>
    </w:p>
    <w:p w14:paraId="2A2EA1BD" w14:textId="6215F600" w:rsidR="00A64838" w:rsidRPr="00AB6090" w:rsidRDefault="00A64838" w:rsidP="0063032F">
      <w:pPr>
        <w:pStyle w:val="Style2"/>
        <w:numPr>
          <w:ilvl w:val="1"/>
          <w:numId w:val="70"/>
        </w:numPr>
        <w:jc w:val="both"/>
        <w:outlineLvl w:val="1"/>
      </w:pPr>
      <w:bookmarkStart w:id="28" w:name="_Toc55899652"/>
      <w:bookmarkStart w:id="29" w:name="_Toc55900396"/>
      <w:bookmarkStart w:id="30" w:name="_Toc56426906"/>
      <w:r w:rsidRPr="00AB6090">
        <w:t>Contenu minimal de la demande</w:t>
      </w:r>
      <w:bookmarkEnd w:id="28"/>
      <w:bookmarkEnd w:id="29"/>
      <w:bookmarkEnd w:id="30"/>
    </w:p>
    <w:p w14:paraId="59FF9D5C" w14:textId="57DC0FC7" w:rsidR="00A64838" w:rsidRPr="00AB6090" w:rsidRDefault="00A64838" w:rsidP="0063032F">
      <w:pPr>
        <w:jc w:val="both"/>
      </w:pPr>
      <w:r w:rsidRPr="00AB6090">
        <w:t xml:space="preserve">La commune qui adresse une demande d’avis à la zone de secours devra fournir </w:t>
      </w:r>
      <w:r w:rsidR="001A0DEC" w:rsidRPr="00AB6090">
        <w:t>les renseignements minimums</w:t>
      </w:r>
      <w:r w:rsidRPr="00AB6090">
        <w:t xml:space="preserve"> suivants : </w:t>
      </w:r>
    </w:p>
    <w:p w14:paraId="3E44BA20" w14:textId="77777777" w:rsidR="00A64838" w:rsidRPr="00AB6090" w:rsidRDefault="00A64838" w:rsidP="0063032F">
      <w:pPr>
        <w:pStyle w:val="Paragraphedeliste"/>
        <w:numPr>
          <w:ilvl w:val="0"/>
          <w:numId w:val="56"/>
        </w:numPr>
        <w:jc w:val="both"/>
      </w:pPr>
      <w:r w:rsidRPr="00AB6090">
        <w:t xml:space="preserve">Nom et coordonnées complètes de l’organisateur (y compris adresse mail, tél et adresse postale) ; </w:t>
      </w:r>
    </w:p>
    <w:p w14:paraId="6DA52015" w14:textId="77777777" w:rsidR="00A64838" w:rsidRPr="00AB6090" w:rsidRDefault="00A64838" w:rsidP="0063032F">
      <w:pPr>
        <w:pStyle w:val="Paragraphedeliste"/>
        <w:numPr>
          <w:ilvl w:val="0"/>
          <w:numId w:val="56"/>
        </w:numPr>
        <w:jc w:val="both"/>
      </w:pPr>
      <w:r w:rsidRPr="00AB6090">
        <w:t xml:space="preserve">Nom de l’événement ; </w:t>
      </w:r>
    </w:p>
    <w:p w14:paraId="72CCCA40" w14:textId="77777777" w:rsidR="00A64838" w:rsidRPr="00AB6090" w:rsidRDefault="00A64838" w:rsidP="0063032F">
      <w:pPr>
        <w:pStyle w:val="Paragraphedeliste"/>
        <w:numPr>
          <w:ilvl w:val="0"/>
          <w:numId w:val="56"/>
        </w:numPr>
        <w:jc w:val="both"/>
      </w:pPr>
      <w:r w:rsidRPr="00AB6090">
        <w:t xml:space="preserve">Dates et heures de début et de fin de l’événement ; </w:t>
      </w:r>
    </w:p>
    <w:p w14:paraId="3577E692" w14:textId="77777777" w:rsidR="00A64838" w:rsidRPr="00AB6090" w:rsidRDefault="00A64838" w:rsidP="0063032F">
      <w:pPr>
        <w:pStyle w:val="Paragraphedeliste"/>
        <w:numPr>
          <w:ilvl w:val="0"/>
          <w:numId w:val="56"/>
        </w:numPr>
        <w:jc w:val="both"/>
      </w:pPr>
      <w:r w:rsidRPr="00AB6090">
        <w:t xml:space="preserve">Lieu de l’événement (adresse, rues concernées, …) ; </w:t>
      </w:r>
    </w:p>
    <w:p w14:paraId="53D5497A" w14:textId="77777777" w:rsidR="00A64838" w:rsidRPr="00AB6090" w:rsidRDefault="00A64838" w:rsidP="0063032F">
      <w:pPr>
        <w:pStyle w:val="Paragraphedeliste"/>
        <w:numPr>
          <w:ilvl w:val="0"/>
          <w:numId w:val="56"/>
        </w:numPr>
        <w:jc w:val="both"/>
      </w:pPr>
      <w:r w:rsidRPr="00AB6090">
        <w:t>Description de l’événement (nature des activités) ;</w:t>
      </w:r>
    </w:p>
    <w:p w14:paraId="3870B060" w14:textId="77777777" w:rsidR="00A64838" w:rsidRPr="00AB6090" w:rsidRDefault="00A64838" w:rsidP="0063032F">
      <w:pPr>
        <w:pStyle w:val="Paragraphedeliste"/>
        <w:numPr>
          <w:ilvl w:val="0"/>
          <w:numId w:val="56"/>
        </w:numPr>
        <w:jc w:val="both"/>
      </w:pPr>
      <w:r w:rsidRPr="00AB6090">
        <w:t xml:space="preserve">Public attendu (nombre de personnes) ; </w:t>
      </w:r>
    </w:p>
    <w:p w14:paraId="562B31A9" w14:textId="77777777" w:rsidR="00A64838" w:rsidRPr="00AB6090" w:rsidRDefault="00A64838" w:rsidP="0063032F">
      <w:pPr>
        <w:pStyle w:val="Paragraphedeliste"/>
        <w:numPr>
          <w:ilvl w:val="0"/>
          <w:numId w:val="56"/>
        </w:numPr>
        <w:jc w:val="both"/>
      </w:pPr>
      <w:r w:rsidRPr="00AB6090">
        <w:t xml:space="preserve">Liste des structures provisoires apportées par l’organisateur (ex : chapiteau, tentes, échoppes, marchands ambulants, </w:t>
      </w:r>
      <w:proofErr w:type="spellStart"/>
      <w:r w:rsidRPr="00AB6090">
        <w:t>food</w:t>
      </w:r>
      <w:proofErr w:type="spellEnd"/>
      <w:r w:rsidRPr="00AB6090">
        <w:t xml:space="preserve"> trucks, points de cuisson, châteaux gonflables, autres jeux pour enfants, manèges forains, gradins, …).</w:t>
      </w:r>
    </w:p>
    <w:p w14:paraId="521CF19E" w14:textId="77777777" w:rsidR="00A64838" w:rsidRPr="00AB6090" w:rsidRDefault="00A64838" w:rsidP="0063032F">
      <w:pPr>
        <w:ind w:left="360"/>
        <w:jc w:val="both"/>
      </w:pPr>
      <w:r w:rsidRPr="00AB6090">
        <w:t xml:space="preserve">Documents à joindre : </w:t>
      </w:r>
    </w:p>
    <w:p w14:paraId="3B6E1057" w14:textId="77777777" w:rsidR="00A64838" w:rsidRPr="00AB6090" w:rsidRDefault="00A64838" w:rsidP="0063032F">
      <w:pPr>
        <w:pStyle w:val="Paragraphedeliste"/>
        <w:numPr>
          <w:ilvl w:val="0"/>
          <w:numId w:val="57"/>
        </w:numPr>
        <w:jc w:val="both"/>
      </w:pPr>
      <w:r w:rsidRPr="00AB6090">
        <w:t xml:space="preserve">Programme des activités avec l’horaire ; </w:t>
      </w:r>
    </w:p>
    <w:p w14:paraId="0875C090" w14:textId="77777777" w:rsidR="00A64838" w:rsidRPr="00AB6090" w:rsidRDefault="00A64838" w:rsidP="0063032F">
      <w:pPr>
        <w:pStyle w:val="Paragraphedeliste"/>
        <w:numPr>
          <w:ilvl w:val="0"/>
          <w:numId w:val="57"/>
        </w:numPr>
        <w:jc w:val="both"/>
      </w:pPr>
      <w:r w:rsidRPr="00AB6090">
        <w:t xml:space="preserve">Plan de l’événement : </w:t>
      </w:r>
    </w:p>
    <w:p w14:paraId="2868F775" w14:textId="77777777" w:rsidR="00A64838" w:rsidRPr="00AB6090" w:rsidRDefault="00A64838" w:rsidP="0063032F">
      <w:pPr>
        <w:pStyle w:val="Paragraphedeliste"/>
        <w:numPr>
          <w:ilvl w:val="1"/>
          <w:numId w:val="57"/>
        </w:numPr>
        <w:jc w:val="both"/>
      </w:pPr>
      <w:r w:rsidRPr="00AB6090">
        <w:t xml:space="preserve">Le plan doit signaler clairement quelles portions de rues sont occupées et/ou interdites à la circulation si l’événement a lieu sur le domaine public ; </w:t>
      </w:r>
    </w:p>
    <w:p w14:paraId="5DE9FE3F" w14:textId="77777777" w:rsidR="00A64838" w:rsidRPr="00AB6090" w:rsidRDefault="00A64838" w:rsidP="0063032F">
      <w:pPr>
        <w:pStyle w:val="Paragraphedeliste"/>
        <w:numPr>
          <w:ilvl w:val="1"/>
          <w:numId w:val="57"/>
        </w:numPr>
        <w:jc w:val="both"/>
      </w:pPr>
      <w:r w:rsidRPr="00AB6090">
        <w:t xml:space="preserve">Le plan (un deuxième plan éventuellement) doit être suffisamment détaillé pour que les structures temporaires installées par l’organisateur soient clairement indiquées dessus (ex : on doit voir l’emplacement du chapiteau, des chalets, des gradins, etc.). </w:t>
      </w:r>
    </w:p>
    <w:p w14:paraId="74CBA04F" w14:textId="77777777" w:rsidR="00A64838" w:rsidRPr="00AB6090" w:rsidRDefault="00A64838" w:rsidP="0063032F">
      <w:pPr>
        <w:pStyle w:val="Paragraphedeliste"/>
        <w:jc w:val="both"/>
      </w:pPr>
    </w:p>
    <w:p w14:paraId="42D1E658" w14:textId="7CE2D81C" w:rsidR="00A64838" w:rsidRPr="00AB6090" w:rsidRDefault="00A64838" w:rsidP="0063032F">
      <w:pPr>
        <w:pStyle w:val="Paragraphedeliste"/>
        <w:numPr>
          <w:ilvl w:val="0"/>
          <w:numId w:val="56"/>
        </w:numPr>
        <w:jc w:val="both"/>
      </w:pPr>
      <w:r w:rsidRPr="00AB6090">
        <w:t xml:space="preserve">Pour certains types d’activité, il y a des documents complémentaires à fournir (par exemple pour un feu d’artifice exécuté par un professionnel).  Ces informations sont détaillées dans </w:t>
      </w:r>
      <w:r w:rsidR="0063032F">
        <w:t>les pages suivantes.</w:t>
      </w:r>
    </w:p>
    <w:p w14:paraId="097E8A53" w14:textId="70B32203" w:rsidR="00A64838" w:rsidRDefault="00A64838" w:rsidP="0063032F">
      <w:pPr>
        <w:jc w:val="both"/>
      </w:pPr>
      <w:r w:rsidRPr="00AB6090">
        <w:t>La zone DINAPHI a réalisé un formulaire type afin d’aider les organisateurs et/ou services communaux à transmettre l’ensemble des informations lié à une manifestation publique.</w:t>
      </w:r>
    </w:p>
    <w:p w14:paraId="232CD217" w14:textId="09847FB8" w:rsidR="00F64AAD" w:rsidRDefault="00F64AAD" w:rsidP="00A64838"/>
    <w:p w14:paraId="3B2474A2" w14:textId="77777777" w:rsidR="00F64AAD" w:rsidRDefault="00F64AAD" w:rsidP="00A64838"/>
    <w:p w14:paraId="053C1D16" w14:textId="77777777" w:rsidR="00AB6090" w:rsidRPr="00AB6090" w:rsidRDefault="00AB6090" w:rsidP="00A64838"/>
    <w:p w14:paraId="6E348625" w14:textId="0CDE6677" w:rsidR="006C1512" w:rsidRPr="001A0DEC" w:rsidRDefault="00BC31EE" w:rsidP="00306BBD">
      <w:pPr>
        <w:pStyle w:val="Titre"/>
        <w:numPr>
          <w:ilvl w:val="0"/>
          <w:numId w:val="72"/>
        </w:numPr>
        <w:pBdr>
          <w:top w:val="single" w:sz="4" w:space="1" w:color="auto"/>
          <w:left w:val="single" w:sz="4" w:space="4" w:color="auto"/>
          <w:bottom w:val="single" w:sz="4" w:space="1" w:color="auto"/>
          <w:right w:val="single" w:sz="4" w:space="4" w:color="auto"/>
        </w:pBdr>
        <w:outlineLvl w:val="0"/>
      </w:pPr>
      <w:bookmarkStart w:id="31" w:name="_Toc56426907"/>
      <w:r w:rsidRPr="001A0DEC">
        <w:lastRenderedPageBreak/>
        <w:t>Prescriptions relatives au lieu de l’événement</w:t>
      </w:r>
      <w:bookmarkEnd w:id="31"/>
    </w:p>
    <w:p w14:paraId="74D5788E" w14:textId="77777777" w:rsidR="009122C2" w:rsidRPr="00AB6090" w:rsidRDefault="009122C2" w:rsidP="00C83752">
      <w:pPr>
        <w:pBdr>
          <w:top w:val="single" w:sz="4" w:space="1" w:color="auto"/>
          <w:left w:val="single" w:sz="4" w:space="4" w:color="auto"/>
          <w:bottom w:val="single" w:sz="4" w:space="1" w:color="auto"/>
          <w:right w:val="single" w:sz="4" w:space="4" w:color="auto"/>
        </w:pBdr>
        <w:jc w:val="center"/>
        <w:rPr>
          <w:b/>
          <w:sz w:val="22"/>
        </w:rPr>
      </w:pPr>
      <w:r w:rsidRPr="00AB6090">
        <w:rPr>
          <w:b/>
          <w:sz w:val="22"/>
        </w:rPr>
        <w:t xml:space="preserve">Quant faut ‘il demander un avis </w:t>
      </w:r>
      <w:r w:rsidR="00730D32" w:rsidRPr="00AB6090">
        <w:rPr>
          <w:b/>
          <w:sz w:val="22"/>
        </w:rPr>
        <w:t xml:space="preserve">préalable </w:t>
      </w:r>
      <w:r w:rsidRPr="00AB6090">
        <w:rPr>
          <w:b/>
          <w:sz w:val="22"/>
        </w:rPr>
        <w:t>à la zone de secours</w:t>
      </w:r>
      <w:r w:rsidR="00BC31EE" w:rsidRPr="00AB6090">
        <w:rPr>
          <w:b/>
          <w:sz w:val="22"/>
        </w:rPr>
        <w:t> ?</w:t>
      </w:r>
    </w:p>
    <w:p w14:paraId="67EF3610" w14:textId="2B0E941F" w:rsidR="00EC05E4" w:rsidRPr="00AB6090" w:rsidRDefault="00EC05E4" w:rsidP="0063032F">
      <w:pPr>
        <w:pStyle w:val="Style2"/>
        <w:numPr>
          <w:ilvl w:val="1"/>
          <w:numId w:val="72"/>
        </w:numPr>
        <w:jc w:val="both"/>
        <w:outlineLvl w:val="1"/>
      </w:pPr>
      <w:bookmarkStart w:id="32" w:name="_Toc55899653"/>
      <w:bookmarkStart w:id="33" w:name="_Toc55900397"/>
      <w:bookmarkStart w:id="34" w:name="_Toc56426908"/>
      <w:r w:rsidRPr="00AB6090">
        <w:t>Festivités en salle</w:t>
      </w:r>
      <w:bookmarkEnd w:id="32"/>
      <w:bookmarkEnd w:id="33"/>
      <w:bookmarkEnd w:id="34"/>
    </w:p>
    <w:p w14:paraId="34DE28A4" w14:textId="788FD9DE" w:rsidR="00730D32" w:rsidRPr="001A0DEC" w:rsidRDefault="00730D32" w:rsidP="0063032F">
      <w:pPr>
        <w:jc w:val="both"/>
        <w:rPr>
          <w:szCs w:val="18"/>
        </w:rPr>
      </w:pPr>
      <w:r w:rsidRPr="00140063">
        <w:rPr>
          <w:szCs w:val="18"/>
        </w:rPr>
        <w:t>Lorsque le bourgmestre est sollicité par un organisateur concernant une festivité à organiser en salle, il importe de vérifier les éléments présentés dans le tableau ci-dessous.</w:t>
      </w:r>
    </w:p>
    <w:tbl>
      <w:tblPr>
        <w:tblStyle w:val="Grilledutableau"/>
        <w:tblW w:w="0" w:type="auto"/>
        <w:tblLook w:val="04A0" w:firstRow="1" w:lastRow="0" w:firstColumn="1" w:lastColumn="0" w:noHBand="0" w:noVBand="1"/>
      </w:tblPr>
      <w:tblGrid>
        <w:gridCol w:w="3485"/>
        <w:gridCol w:w="3485"/>
        <w:gridCol w:w="3486"/>
      </w:tblGrid>
      <w:tr w:rsidR="00730D32" w:rsidRPr="00AB6090" w14:paraId="5C42B7BD" w14:textId="77777777" w:rsidTr="00BC31EE">
        <w:tc>
          <w:tcPr>
            <w:tcW w:w="3485" w:type="dxa"/>
            <w:shd w:val="clear" w:color="auto" w:fill="D9D9D9" w:themeFill="background1" w:themeFillShade="D9"/>
          </w:tcPr>
          <w:p w14:paraId="49C9E11C" w14:textId="77777777" w:rsidR="00730D32" w:rsidRPr="00AB6090" w:rsidRDefault="00730D32" w:rsidP="0063032F">
            <w:pPr>
              <w:jc w:val="both"/>
              <w:rPr>
                <w:b/>
              </w:rPr>
            </w:pPr>
            <w:r w:rsidRPr="00AB6090">
              <w:rPr>
                <w:b/>
              </w:rPr>
              <w:t>Questions</w:t>
            </w:r>
          </w:p>
        </w:tc>
        <w:tc>
          <w:tcPr>
            <w:tcW w:w="3485" w:type="dxa"/>
            <w:shd w:val="clear" w:color="auto" w:fill="D9D9D9" w:themeFill="background1" w:themeFillShade="D9"/>
          </w:tcPr>
          <w:p w14:paraId="60CDDE97" w14:textId="77777777" w:rsidR="00730D32" w:rsidRPr="00AB6090" w:rsidRDefault="00730D32" w:rsidP="0063032F">
            <w:pPr>
              <w:jc w:val="both"/>
              <w:rPr>
                <w:b/>
              </w:rPr>
            </w:pPr>
            <w:r w:rsidRPr="00AB6090">
              <w:rPr>
                <w:b/>
              </w:rPr>
              <w:t>Si oui</w:t>
            </w:r>
          </w:p>
        </w:tc>
        <w:tc>
          <w:tcPr>
            <w:tcW w:w="3486" w:type="dxa"/>
            <w:shd w:val="clear" w:color="auto" w:fill="D9D9D9" w:themeFill="background1" w:themeFillShade="D9"/>
          </w:tcPr>
          <w:p w14:paraId="54E12484" w14:textId="77777777" w:rsidR="00730D32" w:rsidRPr="00AB6090" w:rsidRDefault="00730D32" w:rsidP="0063032F">
            <w:pPr>
              <w:jc w:val="both"/>
              <w:rPr>
                <w:b/>
              </w:rPr>
            </w:pPr>
            <w:r w:rsidRPr="00AB6090">
              <w:rPr>
                <w:b/>
              </w:rPr>
              <w:t>Si non</w:t>
            </w:r>
          </w:p>
        </w:tc>
      </w:tr>
      <w:tr w:rsidR="00730D32" w:rsidRPr="00AB6090" w14:paraId="1D254606" w14:textId="77777777" w:rsidTr="00BC31EE">
        <w:tc>
          <w:tcPr>
            <w:tcW w:w="3485" w:type="dxa"/>
          </w:tcPr>
          <w:p w14:paraId="068FBB0F" w14:textId="77777777" w:rsidR="00730D32" w:rsidRPr="00AB6090" w:rsidRDefault="00730D32" w:rsidP="0063032F">
            <w:pPr>
              <w:jc w:val="both"/>
            </w:pPr>
            <w:r w:rsidRPr="00AB6090">
              <w:t>1. S’agit-il d’une salle prévue au départ pour accueillir des événements ? Par exemple, il arrive que des organisateurs souhaitent organiser des événements dans des hangars de ferme, des sites industriels désaffectés, etc.</w:t>
            </w:r>
          </w:p>
        </w:tc>
        <w:tc>
          <w:tcPr>
            <w:tcW w:w="3485" w:type="dxa"/>
          </w:tcPr>
          <w:p w14:paraId="5307E96B" w14:textId="77777777" w:rsidR="00730D32" w:rsidRPr="00AB6090" w:rsidRDefault="00730D32" w:rsidP="0063032F">
            <w:pPr>
              <w:jc w:val="both"/>
            </w:pPr>
            <w:r w:rsidRPr="00AB6090">
              <w:t>Passer à la question suivante</w:t>
            </w:r>
          </w:p>
        </w:tc>
        <w:tc>
          <w:tcPr>
            <w:tcW w:w="3486" w:type="dxa"/>
          </w:tcPr>
          <w:p w14:paraId="719285D6" w14:textId="77777777" w:rsidR="00730D32" w:rsidRPr="00AB6090" w:rsidRDefault="00730D32" w:rsidP="0063032F">
            <w:pPr>
              <w:jc w:val="both"/>
            </w:pPr>
            <w:r w:rsidRPr="00AB6090">
              <w:t>Demander l’avis de la zone de secours</w:t>
            </w:r>
          </w:p>
        </w:tc>
      </w:tr>
      <w:tr w:rsidR="00730D32" w:rsidRPr="00AB6090" w14:paraId="02B1080B" w14:textId="77777777" w:rsidTr="00BC31EE">
        <w:tc>
          <w:tcPr>
            <w:tcW w:w="3485" w:type="dxa"/>
          </w:tcPr>
          <w:p w14:paraId="39FC2195" w14:textId="06AC6044" w:rsidR="00730D32" w:rsidRPr="00AB6090" w:rsidRDefault="00730D32" w:rsidP="0063032F">
            <w:pPr>
              <w:jc w:val="both"/>
            </w:pPr>
            <w:r w:rsidRPr="00AB6090">
              <w:t>2. La commune dispose-t-elle d’un rapport de prévention incendie pour cette salle</w:t>
            </w:r>
            <w:r w:rsidR="000E360C">
              <w:t xml:space="preserve">, </w:t>
            </w:r>
            <w:r w:rsidR="000E360C" w:rsidRPr="000E360C">
              <w:rPr>
                <w:i/>
                <w:iCs/>
              </w:rPr>
              <w:t>hangar, site industriel, grange, etc.</w:t>
            </w:r>
            <w:r w:rsidRPr="00AB6090">
              <w:t xml:space="preserve"> ?</w:t>
            </w:r>
          </w:p>
        </w:tc>
        <w:tc>
          <w:tcPr>
            <w:tcW w:w="3485" w:type="dxa"/>
          </w:tcPr>
          <w:p w14:paraId="18A11CF6" w14:textId="77777777" w:rsidR="00730D32" w:rsidRPr="00AB6090" w:rsidRDefault="00730D32" w:rsidP="0063032F">
            <w:pPr>
              <w:jc w:val="both"/>
            </w:pPr>
            <w:r w:rsidRPr="00AB6090">
              <w:t>Passer à la question suivante</w:t>
            </w:r>
          </w:p>
        </w:tc>
        <w:tc>
          <w:tcPr>
            <w:tcW w:w="3486" w:type="dxa"/>
          </w:tcPr>
          <w:p w14:paraId="77E0B5F2" w14:textId="77777777" w:rsidR="00730D32" w:rsidRPr="00AB6090" w:rsidRDefault="00730D32" w:rsidP="0063032F">
            <w:pPr>
              <w:jc w:val="both"/>
            </w:pPr>
            <w:r w:rsidRPr="00AB6090">
              <w:t>Demander au service prévention de la zone de secours si la salle dispose d’un avis de prévention incendie. Si aucun avis n’a été rédigé, adresser un courrier du Bourgmestre à la zone de secours (service prévention) pour solliciter une visite de prévention incendie qui pourra être effectuée dans un délai de 6 semaines à dater de la demande. Si un avis est existant, la zone de secours l’enverra une seule fois.  Il est du ressort de la commune de classer cet avis pour ne pas le redemander lors de la festivité suivante.</w:t>
            </w:r>
          </w:p>
        </w:tc>
      </w:tr>
      <w:tr w:rsidR="00730D32" w:rsidRPr="00AB6090" w14:paraId="1B347649" w14:textId="77777777" w:rsidTr="00BC31EE">
        <w:tc>
          <w:tcPr>
            <w:tcW w:w="3485" w:type="dxa"/>
          </w:tcPr>
          <w:p w14:paraId="5C8E3CAD" w14:textId="77777777" w:rsidR="00730D32" w:rsidRPr="00AB6090" w:rsidRDefault="00730D32" w:rsidP="0063032F">
            <w:pPr>
              <w:jc w:val="both"/>
            </w:pPr>
            <w:r w:rsidRPr="00AB6090">
              <w:t>3. Est-ce que le rapport de prévention incendie est favorable</w:t>
            </w:r>
          </w:p>
        </w:tc>
        <w:tc>
          <w:tcPr>
            <w:tcW w:w="3485" w:type="dxa"/>
          </w:tcPr>
          <w:p w14:paraId="57BA98E8" w14:textId="77777777" w:rsidR="00730D32" w:rsidRPr="00AB6090" w:rsidRDefault="00730D32" w:rsidP="0063032F">
            <w:pPr>
              <w:jc w:val="both"/>
            </w:pPr>
            <w:r w:rsidRPr="00AB6090">
              <w:t>Passer à la question suivante</w:t>
            </w:r>
          </w:p>
        </w:tc>
        <w:tc>
          <w:tcPr>
            <w:tcW w:w="3486" w:type="dxa"/>
          </w:tcPr>
          <w:p w14:paraId="2C88E7E1" w14:textId="77777777" w:rsidR="00730D32" w:rsidRPr="00AB6090" w:rsidRDefault="00730D32" w:rsidP="0063032F">
            <w:pPr>
              <w:jc w:val="both"/>
            </w:pPr>
            <w:r w:rsidRPr="00AB6090">
              <w:t>Dans le processus d’autorisation ou pas de l’événement, il faut que le service communal traitant informe le collège communal de la non-conformité de la salle.  Le collège doit ensuite prendre position et en informer l’organisateur.</w:t>
            </w:r>
          </w:p>
        </w:tc>
      </w:tr>
      <w:tr w:rsidR="00730D32" w:rsidRPr="00AB6090" w14:paraId="0406E489" w14:textId="77777777" w:rsidTr="00BC31EE">
        <w:tc>
          <w:tcPr>
            <w:tcW w:w="3485" w:type="dxa"/>
          </w:tcPr>
          <w:p w14:paraId="46AA964D" w14:textId="77777777" w:rsidR="00730D32" w:rsidRPr="00AB6090" w:rsidRDefault="00730D32" w:rsidP="0063032F">
            <w:pPr>
              <w:jc w:val="both"/>
            </w:pPr>
            <w:r w:rsidRPr="00AB6090">
              <w:t>4. Est-ce que la capacité de la salle est adaptée au nombre de personnes prévues ?  (voir  dans le rapport de prévention ou dans le règlement communal pour le calcul de la capacité (chartre de bien vivre ensemble)</w:t>
            </w:r>
          </w:p>
        </w:tc>
        <w:tc>
          <w:tcPr>
            <w:tcW w:w="3485" w:type="dxa"/>
          </w:tcPr>
          <w:p w14:paraId="1954E244" w14:textId="77777777" w:rsidR="00730D32" w:rsidRPr="00AB6090" w:rsidRDefault="00730D32" w:rsidP="0063032F">
            <w:pPr>
              <w:jc w:val="both"/>
            </w:pPr>
            <w:r w:rsidRPr="00AB6090">
              <w:t>Passer à la question suivante</w:t>
            </w:r>
          </w:p>
        </w:tc>
        <w:tc>
          <w:tcPr>
            <w:tcW w:w="3486" w:type="dxa"/>
          </w:tcPr>
          <w:p w14:paraId="6878F975" w14:textId="77777777" w:rsidR="00730D32" w:rsidRPr="00AB6090" w:rsidRDefault="00730D32" w:rsidP="0063032F">
            <w:pPr>
              <w:jc w:val="both"/>
            </w:pPr>
            <w:r w:rsidRPr="00AB6090">
              <w:t>Dans le processus d’autorisation ou pas de l’événement, il faut que le service communal traitant informe le collège communal de cet aspect.  Le collège doit ensuite limiter la taille de l’événement et en informer l’organisateur.</w:t>
            </w:r>
          </w:p>
        </w:tc>
      </w:tr>
      <w:tr w:rsidR="00730D32" w:rsidRPr="00AB6090" w14:paraId="1022967D" w14:textId="77777777" w:rsidTr="00BC31EE">
        <w:tc>
          <w:tcPr>
            <w:tcW w:w="3485" w:type="dxa"/>
          </w:tcPr>
          <w:p w14:paraId="177A05E2" w14:textId="77777777" w:rsidR="00730D32" w:rsidRPr="00AB6090" w:rsidRDefault="00730D32" w:rsidP="0063032F">
            <w:pPr>
              <w:jc w:val="both"/>
            </w:pPr>
            <w:r w:rsidRPr="00AB6090">
              <w:t>5. Est-ce que la salle dispose d’un règlement d’ordre intérieur ? (voir explications au §4.2)</w:t>
            </w:r>
          </w:p>
        </w:tc>
        <w:tc>
          <w:tcPr>
            <w:tcW w:w="3485" w:type="dxa"/>
          </w:tcPr>
          <w:p w14:paraId="3F4065BA" w14:textId="0BB29A58" w:rsidR="00730D32" w:rsidRPr="00AB6090" w:rsidRDefault="00730D32" w:rsidP="0063032F">
            <w:pPr>
              <w:jc w:val="both"/>
            </w:pPr>
            <w:r w:rsidRPr="00AB6090">
              <w:t xml:space="preserve">Pas de nécessité de contacter la zone de secours. </w:t>
            </w:r>
            <w:r w:rsidRPr="00AB6090">
              <w:rPr>
                <w:b/>
              </w:rPr>
              <w:t>Le service communal traitant transmets à l’organisateur les recommandations de séc</w:t>
            </w:r>
            <w:r w:rsidR="00553BFD">
              <w:rPr>
                <w:b/>
              </w:rPr>
              <w:t>urité éditée par la zone (</w:t>
            </w:r>
            <w:proofErr w:type="spellStart"/>
            <w:r w:rsidR="00553BFD">
              <w:rPr>
                <w:b/>
              </w:rPr>
              <w:t>cfr</w:t>
            </w:r>
            <w:proofErr w:type="spellEnd"/>
            <w:r w:rsidR="00553BFD">
              <w:rPr>
                <w:b/>
              </w:rPr>
              <w:t xml:space="preserve"> §5</w:t>
            </w:r>
            <w:r w:rsidRPr="00AB6090">
              <w:rPr>
                <w:b/>
              </w:rPr>
              <w:t>.</w:t>
            </w:r>
            <w:r w:rsidR="009D0348" w:rsidRPr="00AB6090">
              <w:rPr>
                <w:b/>
              </w:rPr>
              <w:t>1.2</w:t>
            </w:r>
            <w:r w:rsidRPr="00AB6090">
              <w:rPr>
                <w:b/>
              </w:rPr>
              <w:t>)</w:t>
            </w:r>
            <w:r w:rsidRPr="00AB6090">
              <w:t xml:space="preserve"> et fait rapport au collège selon les procédures communales en vigueur dans la commune.</w:t>
            </w:r>
          </w:p>
        </w:tc>
        <w:tc>
          <w:tcPr>
            <w:tcW w:w="3486" w:type="dxa"/>
          </w:tcPr>
          <w:p w14:paraId="248B5402" w14:textId="77777777" w:rsidR="00730D32" w:rsidRPr="00AB6090" w:rsidRDefault="00730D32" w:rsidP="0063032F">
            <w:pPr>
              <w:jc w:val="both"/>
            </w:pPr>
            <w:r w:rsidRPr="00AB6090">
              <w:t>Dans le processus d’autorisation ou pas de l’événement, il faut que le service communal traitant informe le collège communal de cet aspect.  Le collège doit ensuite prendre position et en informer l’organisateur.</w:t>
            </w:r>
          </w:p>
        </w:tc>
      </w:tr>
    </w:tbl>
    <w:p w14:paraId="19F3F102" w14:textId="00CBFFD9" w:rsidR="00730D32" w:rsidRPr="001A0DEC" w:rsidRDefault="00730D32" w:rsidP="0063032F">
      <w:pPr>
        <w:pStyle w:val="Style3"/>
        <w:jc w:val="both"/>
      </w:pPr>
      <w:bookmarkStart w:id="35" w:name="_Toc55899654"/>
      <w:bookmarkStart w:id="36" w:name="_Toc55900398"/>
      <w:bookmarkStart w:id="37" w:name="_Toc56426909"/>
      <w:r w:rsidRPr="001A0DEC">
        <w:t>Règlement d</w:t>
      </w:r>
      <w:r w:rsidRPr="001A0DEC">
        <w:rPr>
          <w:rFonts w:ascii="Times New Roman" w:hAnsi="Times New Roman" w:cs="Times New Roman"/>
        </w:rPr>
        <w:t>’</w:t>
      </w:r>
      <w:r w:rsidRPr="001A0DEC">
        <w:t>ordre int</w:t>
      </w:r>
      <w:r w:rsidRPr="001A0DEC">
        <w:rPr>
          <w:rFonts w:hint="eastAsia"/>
        </w:rPr>
        <w:t>é</w:t>
      </w:r>
      <w:r w:rsidRPr="001A0DEC">
        <w:t>rieur</w:t>
      </w:r>
      <w:bookmarkEnd w:id="35"/>
      <w:bookmarkEnd w:id="36"/>
      <w:bookmarkEnd w:id="37"/>
    </w:p>
    <w:p w14:paraId="3E71AB06" w14:textId="77777777" w:rsidR="0068453A" w:rsidRPr="00AB6090" w:rsidRDefault="0068453A" w:rsidP="0063032F">
      <w:pPr>
        <w:jc w:val="both"/>
      </w:pPr>
      <w:r w:rsidRPr="00AB6090">
        <w:t xml:space="preserve">Le règlement d’ordre intérieur permet d’imposer à l’organisateur une utilisation correcte des lieux.  En effet, la sécurité d’un événement en salle est non seulement liée à la sécurité de conception du bâtiment mais aussi à l’usage qui est fait de celui-ci. </w:t>
      </w:r>
    </w:p>
    <w:p w14:paraId="29BAE218" w14:textId="77777777" w:rsidR="00BB1706" w:rsidRPr="00AB6090" w:rsidRDefault="0068453A" w:rsidP="0063032F">
      <w:pPr>
        <w:jc w:val="both"/>
      </w:pPr>
      <w:r w:rsidRPr="00AB6090">
        <w:t xml:space="preserve"> Le propriétaire de la salle doit disposer d’un règlement d’ordre intérieur (ROI) et s’assurer que l’utilisateur de la salle le respecte.  Il est de bonne pratique de rendre le ROI partie intégrante du contrat de location de la salle.</w:t>
      </w:r>
    </w:p>
    <w:p w14:paraId="619637D7"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39675703" w14:textId="77777777" w:rsidR="0068453A" w:rsidRPr="00AB6090" w:rsidRDefault="0068453A" w:rsidP="0063032F">
      <w:pPr>
        <w:pStyle w:val="Paragraphedeliste"/>
        <w:numPr>
          <w:ilvl w:val="0"/>
          <w:numId w:val="15"/>
        </w:numPr>
        <w:jc w:val="both"/>
      </w:pPr>
      <w:r w:rsidRPr="00AB6090">
        <w:t xml:space="preserve">L'organisateur veille à ne pas accueillir plus de personnes que la capacité maximale de la salle. </w:t>
      </w:r>
    </w:p>
    <w:p w14:paraId="4C81EE5F" w14:textId="77777777" w:rsidR="005760C5" w:rsidRPr="00AB6090" w:rsidRDefault="0068453A" w:rsidP="0063032F">
      <w:pPr>
        <w:pStyle w:val="Paragraphedeliste"/>
        <w:numPr>
          <w:ilvl w:val="0"/>
          <w:numId w:val="15"/>
        </w:numPr>
        <w:jc w:val="both"/>
      </w:pPr>
      <w:r w:rsidRPr="00AB6090">
        <w:t>Les sorties de secours sont toujours laissées libres et non verrouillées, les chemins d'évacuation sont toujours dégagés.</w:t>
      </w:r>
    </w:p>
    <w:p w14:paraId="2FA29C03" w14:textId="77777777" w:rsidR="0068453A" w:rsidRPr="00AB6090" w:rsidRDefault="0068453A" w:rsidP="0063032F">
      <w:pPr>
        <w:pStyle w:val="Paragraphedeliste"/>
        <w:numPr>
          <w:ilvl w:val="0"/>
          <w:numId w:val="15"/>
        </w:numPr>
        <w:jc w:val="both"/>
      </w:pPr>
      <w:r w:rsidRPr="00AB6090">
        <w:t xml:space="preserve">On n'utilise pas de matières facilement inflammables, ni de bouteilles de gaz ou autre point de cuisson à l'intérieur de la salle où est accueilli le public.  En particulier, la décoration ne peut pas être inflammable ou combustible. </w:t>
      </w:r>
    </w:p>
    <w:p w14:paraId="0C47EF57" w14:textId="77777777" w:rsidR="0068453A" w:rsidRPr="00AB6090" w:rsidRDefault="0068453A" w:rsidP="0063032F">
      <w:pPr>
        <w:pStyle w:val="Paragraphedeliste"/>
        <w:numPr>
          <w:ilvl w:val="0"/>
          <w:numId w:val="15"/>
        </w:numPr>
        <w:jc w:val="both"/>
      </w:pPr>
      <w:r w:rsidRPr="00AB6090">
        <w:t xml:space="preserve">On n’utilise pas d’éléments pyrotechniques dans la salle. </w:t>
      </w:r>
    </w:p>
    <w:p w14:paraId="3EB5A4B0" w14:textId="77777777" w:rsidR="0068453A" w:rsidRPr="00AB6090" w:rsidRDefault="0068453A" w:rsidP="0063032F">
      <w:pPr>
        <w:pStyle w:val="Paragraphedeliste"/>
        <w:numPr>
          <w:ilvl w:val="0"/>
          <w:numId w:val="15"/>
        </w:numPr>
        <w:jc w:val="both"/>
      </w:pPr>
      <w:r w:rsidRPr="00AB6090">
        <w:t xml:space="preserve">Le matériel de lutte contre l'incendie (dévidoirs, extincteurs et autres) doit rester facilement accessible et ne peut être endommagé ou mis hors service. </w:t>
      </w:r>
    </w:p>
    <w:p w14:paraId="597BC3BC" w14:textId="77777777" w:rsidR="0068453A" w:rsidRPr="00AB6090" w:rsidRDefault="0068453A" w:rsidP="0063032F">
      <w:pPr>
        <w:pStyle w:val="Paragraphedeliste"/>
        <w:numPr>
          <w:ilvl w:val="0"/>
          <w:numId w:val="15"/>
        </w:numPr>
        <w:jc w:val="both"/>
      </w:pPr>
      <w:r w:rsidRPr="00AB6090">
        <w:lastRenderedPageBreak/>
        <w:t xml:space="preserve">S'il existe, l’emplacement de parking prévu pour les secours doit toujours être libre.  De même, si elle existe, la voirie permettant de circuler autour du bâtiment avec les véhicules d’incendie doit rester dégagée. </w:t>
      </w:r>
    </w:p>
    <w:p w14:paraId="7C10EE4B" w14:textId="35122FC3" w:rsidR="005760C5" w:rsidRDefault="0068453A" w:rsidP="0063032F">
      <w:pPr>
        <w:pStyle w:val="Paragraphedeliste"/>
        <w:numPr>
          <w:ilvl w:val="0"/>
          <w:numId w:val="15"/>
        </w:numPr>
        <w:jc w:val="both"/>
      </w:pPr>
      <w:r w:rsidRPr="00AB6090">
        <w:t>L'organisateur n'admet le public dans la salle qu'après avoir vérifié que les mesures de sécurité susmentionnées sont vérifiées.</w:t>
      </w:r>
    </w:p>
    <w:p w14:paraId="15BF0FA7" w14:textId="77777777" w:rsidR="001A0DEC" w:rsidRPr="00AB6090" w:rsidRDefault="001A0DEC" w:rsidP="0063032F">
      <w:pPr>
        <w:pStyle w:val="Paragraphedeliste"/>
        <w:jc w:val="both"/>
      </w:pPr>
    </w:p>
    <w:p w14:paraId="036EBD65" w14:textId="77777777" w:rsidR="00686912" w:rsidRPr="00686912" w:rsidRDefault="00686912" w:rsidP="0063032F">
      <w:pPr>
        <w:pStyle w:val="Paragraphedeliste"/>
        <w:keepNext/>
        <w:keepLines/>
        <w:numPr>
          <w:ilvl w:val="0"/>
          <w:numId w:val="16"/>
        </w:numPr>
        <w:spacing w:before="40" w:after="0"/>
        <w:contextualSpacing w:val="0"/>
        <w:jc w:val="both"/>
        <w:outlineLvl w:val="3"/>
        <w:rPr>
          <w:rFonts w:asciiTheme="majorHAnsi" w:eastAsiaTheme="majorEastAsia" w:hAnsiTheme="majorHAnsi" w:cstheme="majorBidi"/>
          <w:vanish/>
          <w:color w:val="C71C12" w:themeColor="accent1" w:themeShade="BF"/>
          <w:sz w:val="20"/>
        </w:rPr>
      </w:pPr>
      <w:bookmarkStart w:id="38" w:name="_Toc55899655"/>
      <w:bookmarkStart w:id="39" w:name="_Toc55900399"/>
      <w:bookmarkEnd w:id="38"/>
      <w:bookmarkEnd w:id="39"/>
    </w:p>
    <w:p w14:paraId="4A648396" w14:textId="77777777" w:rsidR="00686912" w:rsidRPr="00686912" w:rsidRDefault="00686912" w:rsidP="0063032F">
      <w:pPr>
        <w:pStyle w:val="Paragraphedeliste"/>
        <w:keepNext/>
        <w:keepLines/>
        <w:numPr>
          <w:ilvl w:val="0"/>
          <w:numId w:val="16"/>
        </w:numPr>
        <w:spacing w:before="40" w:after="0"/>
        <w:contextualSpacing w:val="0"/>
        <w:jc w:val="both"/>
        <w:outlineLvl w:val="3"/>
        <w:rPr>
          <w:rFonts w:asciiTheme="majorHAnsi" w:eastAsiaTheme="majorEastAsia" w:hAnsiTheme="majorHAnsi" w:cstheme="majorBidi"/>
          <w:vanish/>
          <w:color w:val="C71C12" w:themeColor="accent1" w:themeShade="BF"/>
          <w:sz w:val="20"/>
        </w:rPr>
      </w:pPr>
      <w:bookmarkStart w:id="40" w:name="_Toc55899656"/>
      <w:bookmarkStart w:id="41" w:name="_Toc55900400"/>
      <w:bookmarkEnd w:id="40"/>
      <w:bookmarkEnd w:id="41"/>
    </w:p>
    <w:p w14:paraId="0D18FEAB" w14:textId="77777777" w:rsidR="00686912" w:rsidRPr="00686912" w:rsidRDefault="00686912" w:rsidP="0063032F">
      <w:pPr>
        <w:pStyle w:val="Paragraphedeliste"/>
        <w:keepNext/>
        <w:keepLines/>
        <w:numPr>
          <w:ilvl w:val="0"/>
          <w:numId w:val="16"/>
        </w:numPr>
        <w:spacing w:before="40" w:after="0"/>
        <w:contextualSpacing w:val="0"/>
        <w:jc w:val="both"/>
        <w:outlineLvl w:val="3"/>
        <w:rPr>
          <w:rFonts w:asciiTheme="majorHAnsi" w:eastAsiaTheme="majorEastAsia" w:hAnsiTheme="majorHAnsi" w:cstheme="majorBidi"/>
          <w:vanish/>
          <w:color w:val="C71C12" w:themeColor="accent1" w:themeShade="BF"/>
          <w:sz w:val="20"/>
        </w:rPr>
      </w:pPr>
      <w:bookmarkStart w:id="42" w:name="_Toc55899657"/>
      <w:bookmarkStart w:id="43" w:name="_Toc55900401"/>
      <w:bookmarkEnd w:id="42"/>
      <w:bookmarkEnd w:id="43"/>
    </w:p>
    <w:p w14:paraId="12EE8C30" w14:textId="77777777" w:rsidR="00686912" w:rsidRPr="00686912" w:rsidRDefault="00686912" w:rsidP="0063032F">
      <w:pPr>
        <w:pStyle w:val="Paragraphedeliste"/>
        <w:keepNext/>
        <w:keepLines/>
        <w:numPr>
          <w:ilvl w:val="0"/>
          <w:numId w:val="16"/>
        </w:numPr>
        <w:spacing w:before="40" w:after="0"/>
        <w:contextualSpacing w:val="0"/>
        <w:jc w:val="both"/>
        <w:outlineLvl w:val="3"/>
        <w:rPr>
          <w:rFonts w:asciiTheme="majorHAnsi" w:eastAsiaTheme="majorEastAsia" w:hAnsiTheme="majorHAnsi" w:cstheme="majorBidi"/>
          <w:vanish/>
          <w:color w:val="C71C12" w:themeColor="accent1" w:themeShade="BF"/>
          <w:sz w:val="20"/>
        </w:rPr>
      </w:pPr>
      <w:bookmarkStart w:id="44" w:name="_Toc55899658"/>
      <w:bookmarkStart w:id="45" w:name="_Toc55900402"/>
      <w:bookmarkEnd w:id="44"/>
      <w:bookmarkEnd w:id="45"/>
    </w:p>
    <w:p w14:paraId="6484CB67" w14:textId="77777777" w:rsidR="00686912" w:rsidRPr="00686912" w:rsidRDefault="00686912" w:rsidP="0063032F">
      <w:pPr>
        <w:pStyle w:val="Paragraphedeliste"/>
        <w:keepNext/>
        <w:keepLines/>
        <w:numPr>
          <w:ilvl w:val="0"/>
          <w:numId w:val="16"/>
        </w:numPr>
        <w:spacing w:before="40" w:after="0"/>
        <w:contextualSpacing w:val="0"/>
        <w:jc w:val="both"/>
        <w:outlineLvl w:val="3"/>
        <w:rPr>
          <w:rFonts w:asciiTheme="majorHAnsi" w:eastAsiaTheme="majorEastAsia" w:hAnsiTheme="majorHAnsi" w:cstheme="majorBidi"/>
          <w:vanish/>
          <w:color w:val="C71C12" w:themeColor="accent1" w:themeShade="BF"/>
          <w:sz w:val="20"/>
        </w:rPr>
      </w:pPr>
      <w:bookmarkStart w:id="46" w:name="_Toc55899659"/>
      <w:bookmarkStart w:id="47" w:name="_Toc55900403"/>
      <w:bookmarkEnd w:id="46"/>
      <w:bookmarkEnd w:id="47"/>
    </w:p>
    <w:p w14:paraId="557C1093" w14:textId="77777777" w:rsidR="00686912" w:rsidRPr="00686912" w:rsidRDefault="00686912" w:rsidP="0063032F">
      <w:pPr>
        <w:pStyle w:val="Paragraphedeliste"/>
        <w:keepNext/>
        <w:keepLines/>
        <w:numPr>
          <w:ilvl w:val="1"/>
          <w:numId w:val="16"/>
        </w:numPr>
        <w:spacing w:before="40" w:after="0"/>
        <w:contextualSpacing w:val="0"/>
        <w:jc w:val="both"/>
        <w:outlineLvl w:val="3"/>
        <w:rPr>
          <w:rFonts w:asciiTheme="majorHAnsi" w:eastAsiaTheme="majorEastAsia" w:hAnsiTheme="majorHAnsi" w:cstheme="majorBidi"/>
          <w:vanish/>
          <w:color w:val="C71C12" w:themeColor="accent1" w:themeShade="BF"/>
          <w:sz w:val="20"/>
        </w:rPr>
      </w:pPr>
      <w:bookmarkStart w:id="48" w:name="_Toc55899660"/>
      <w:bookmarkStart w:id="49" w:name="_Toc55900404"/>
      <w:bookmarkEnd w:id="48"/>
      <w:bookmarkEnd w:id="49"/>
    </w:p>
    <w:p w14:paraId="1394AF4C" w14:textId="77777777" w:rsidR="009D0348" w:rsidRPr="00AB6090" w:rsidRDefault="00730D32" w:rsidP="0063032F">
      <w:pPr>
        <w:pStyle w:val="Style2"/>
        <w:numPr>
          <w:ilvl w:val="1"/>
          <w:numId w:val="16"/>
        </w:numPr>
        <w:jc w:val="both"/>
        <w:outlineLvl w:val="1"/>
      </w:pPr>
      <w:bookmarkStart w:id="50" w:name="_Toc55899661"/>
      <w:bookmarkStart w:id="51" w:name="_Toc55900405"/>
      <w:bookmarkStart w:id="52" w:name="_Toc56426910"/>
      <w:r w:rsidRPr="00AB6090">
        <w:t>Chapiteaux</w:t>
      </w:r>
      <w:r w:rsidR="009D0348" w:rsidRPr="00AB6090">
        <w:t>, tonnelles</w:t>
      </w:r>
      <w:bookmarkEnd w:id="50"/>
      <w:bookmarkEnd w:id="51"/>
      <w:bookmarkEnd w:id="52"/>
    </w:p>
    <w:p w14:paraId="4A15AC8F" w14:textId="77777777" w:rsidR="009D0348" w:rsidRPr="00140063" w:rsidRDefault="009D0348" w:rsidP="0063032F">
      <w:pPr>
        <w:jc w:val="both"/>
      </w:pPr>
      <w:r w:rsidRPr="00140063">
        <w:t>Lorsque le bourgmestre est sollicité par un organisateur concernant une festivité dans une tonnelle, un chapiteau, il importe de vérifier les éléments présentés dans le tableau ci-dessous.</w:t>
      </w:r>
    </w:p>
    <w:tbl>
      <w:tblPr>
        <w:tblStyle w:val="Grilledutableau"/>
        <w:tblW w:w="0" w:type="auto"/>
        <w:tblLook w:val="04A0" w:firstRow="1" w:lastRow="0" w:firstColumn="1" w:lastColumn="0" w:noHBand="0" w:noVBand="1"/>
      </w:tblPr>
      <w:tblGrid>
        <w:gridCol w:w="3485"/>
        <w:gridCol w:w="3485"/>
        <w:gridCol w:w="3486"/>
      </w:tblGrid>
      <w:tr w:rsidR="009D0348" w:rsidRPr="00AB6090" w14:paraId="62753348" w14:textId="77777777" w:rsidTr="00CB10A6">
        <w:tc>
          <w:tcPr>
            <w:tcW w:w="3485" w:type="dxa"/>
            <w:shd w:val="clear" w:color="auto" w:fill="D9D9D9" w:themeFill="background1" w:themeFillShade="D9"/>
          </w:tcPr>
          <w:p w14:paraId="0AE6FC8B" w14:textId="77777777" w:rsidR="009D0348" w:rsidRPr="00AB6090" w:rsidRDefault="009D0348" w:rsidP="0063032F">
            <w:pPr>
              <w:jc w:val="both"/>
              <w:rPr>
                <w:b/>
              </w:rPr>
            </w:pPr>
            <w:r w:rsidRPr="00AB6090">
              <w:rPr>
                <w:b/>
              </w:rPr>
              <w:t>Questions</w:t>
            </w:r>
          </w:p>
        </w:tc>
        <w:tc>
          <w:tcPr>
            <w:tcW w:w="3485" w:type="dxa"/>
            <w:shd w:val="clear" w:color="auto" w:fill="D9D9D9" w:themeFill="background1" w:themeFillShade="D9"/>
          </w:tcPr>
          <w:p w14:paraId="5A7314B8" w14:textId="77777777" w:rsidR="009D0348" w:rsidRPr="00AB6090" w:rsidRDefault="009D0348" w:rsidP="0063032F">
            <w:pPr>
              <w:jc w:val="both"/>
              <w:rPr>
                <w:b/>
              </w:rPr>
            </w:pPr>
            <w:r w:rsidRPr="00AB6090">
              <w:rPr>
                <w:b/>
              </w:rPr>
              <w:t>Si oui</w:t>
            </w:r>
          </w:p>
        </w:tc>
        <w:tc>
          <w:tcPr>
            <w:tcW w:w="3486" w:type="dxa"/>
            <w:shd w:val="clear" w:color="auto" w:fill="D9D9D9" w:themeFill="background1" w:themeFillShade="D9"/>
          </w:tcPr>
          <w:p w14:paraId="0BEEC7D7" w14:textId="77777777" w:rsidR="009D0348" w:rsidRPr="00AB6090" w:rsidRDefault="009D0348" w:rsidP="0063032F">
            <w:pPr>
              <w:jc w:val="both"/>
              <w:rPr>
                <w:b/>
              </w:rPr>
            </w:pPr>
            <w:r w:rsidRPr="00AB6090">
              <w:rPr>
                <w:b/>
              </w:rPr>
              <w:t>Si non</w:t>
            </w:r>
          </w:p>
        </w:tc>
      </w:tr>
      <w:tr w:rsidR="009D0348" w:rsidRPr="00AB6090" w14:paraId="1C76CD1C" w14:textId="77777777" w:rsidTr="009D0348">
        <w:tc>
          <w:tcPr>
            <w:tcW w:w="3485" w:type="dxa"/>
          </w:tcPr>
          <w:p w14:paraId="453D497E" w14:textId="77777777" w:rsidR="009D0348" w:rsidRPr="00AB6090" w:rsidRDefault="00CB10A6" w:rsidP="0063032F">
            <w:pPr>
              <w:jc w:val="both"/>
            </w:pPr>
            <w:r w:rsidRPr="00AB6090">
              <w:t xml:space="preserve">1. </w:t>
            </w:r>
            <w:r w:rsidR="009D0348" w:rsidRPr="00AB6090">
              <w:t xml:space="preserve">S’agit-il d’une ou plusieurs tonnelles et/ou d’un chapiteau inférieur à 150 m² </w:t>
            </w:r>
          </w:p>
        </w:tc>
        <w:tc>
          <w:tcPr>
            <w:tcW w:w="3485" w:type="dxa"/>
          </w:tcPr>
          <w:p w14:paraId="5B3935AC" w14:textId="001E3B88" w:rsidR="009D0348" w:rsidRPr="00AB6090" w:rsidRDefault="009D0348" w:rsidP="0063032F">
            <w:pPr>
              <w:jc w:val="both"/>
            </w:pPr>
            <w:r w:rsidRPr="00AB6090">
              <w:t xml:space="preserve">Pas de nécessité de contacter la zone de secours. </w:t>
            </w:r>
            <w:r w:rsidRPr="00AB6090">
              <w:rPr>
                <w:b/>
              </w:rPr>
              <w:t>Le service communal traitant transmet à l’organisateur les recommandations de sécu</w:t>
            </w:r>
            <w:r w:rsidR="00D73E1D">
              <w:rPr>
                <w:b/>
              </w:rPr>
              <w:t>rité éditée par la zone (</w:t>
            </w:r>
            <w:proofErr w:type="spellStart"/>
            <w:r w:rsidR="00D73E1D">
              <w:rPr>
                <w:b/>
              </w:rPr>
              <w:t>cfr</w:t>
            </w:r>
            <w:proofErr w:type="spellEnd"/>
            <w:r w:rsidR="00D73E1D">
              <w:rPr>
                <w:b/>
              </w:rPr>
              <w:t xml:space="preserve"> § 5</w:t>
            </w:r>
            <w:r w:rsidRPr="00AB6090">
              <w:rPr>
                <w:b/>
              </w:rPr>
              <w:t>.2.2</w:t>
            </w:r>
            <w:r w:rsidR="00140063">
              <w:rPr>
                <w:b/>
              </w:rPr>
              <w:t>.3</w:t>
            </w:r>
            <w:r w:rsidRPr="00AB6090">
              <w:rPr>
                <w:b/>
              </w:rPr>
              <w:t xml:space="preserve">) </w:t>
            </w:r>
            <w:r w:rsidRPr="00AB6090">
              <w:t>et fait rapport au collège selon les procédures communales en vigueur dans la commune.</w:t>
            </w:r>
          </w:p>
        </w:tc>
        <w:tc>
          <w:tcPr>
            <w:tcW w:w="3486" w:type="dxa"/>
          </w:tcPr>
          <w:p w14:paraId="3CCCEB97" w14:textId="77777777" w:rsidR="009D0348" w:rsidRPr="00AB6090" w:rsidRDefault="009D0348" w:rsidP="0063032F">
            <w:pPr>
              <w:jc w:val="both"/>
            </w:pPr>
            <w:r w:rsidRPr="00AB6090">
              <w:t>Passer à la question suivante</w:t>
            </w:r>
          </w:p>
        </w:tc>
      </w:tr>
      <w:tr w:rsidR="009D0348" w:rsidRPr="00AB6090" w14:paraId="14A55108" w14:textId="77777777" w:rsidTr="009D0348">
        <w:tc>
          <w:tcPr>
            <w:tcW w:w="3485" w:type="dxa"/>
          </w:tcPr>
          <w:p w14:paraId="14A76911" w14:textId="77777777" w:rsidR="009D0348" w:rsidRPr="00AB6090" w:rsidRDefault="00CB10A6" w:rsidP="0063032F">
            <w:pPr>
              <w:jc w:val="both"/>
            </w:pPr>
            <w:r w:rsidRPr="00AB6090">
              <w:t>2. Il y a-t-il un espace libre de 4 m de largeur, carrossable et accessible aux véhicules de secours, sur le pourtour complet du chapiteau ?</w:t>
            </w:r>
          </w:p>
        </w:tc>
        <w:tc>
          <w:tcPr>
            <w:tcW w:w="3485" w:type="dxa"/>
          </w:tcPr>
          <w:p w14:paraId="757665FF" w14:textId="4E50BCF2" w:rsidR="009D0348" w:rsidRPr="00AB6090" w:rsidRDefault="00CB10A6" w:rsidP="0063032F">
            <w:pPr>
              <w:jc w:val="both"/>
            </w:pPr>
            <w:r w:rsidRPr="00AB6090">
              <w:t xml:space="preserve">Pas de nécessité de contacter la zone de secours. </w:t>
            </w:r>
            <w:r w:rsidRPr="00AB6090">
              <w:rPr>
                <w:b/>
              </w:rPr>
              <w:t>Le service communal traitant transmet à l’organisateur les recommandations de sécu</w:t>
            </w:r>
            <w:r w:rsidR="00D73E1D">
              <w:rPr>
                <w:b/>
              </w:rPr>
              <w:t>rité éditée par la zone (</w:t>
            </w:r>
            <w:proofErr w:type="spellStart"/>
            <w:r w:rsidR="00D73E1D">
              <w:rPr>
                <w:b/>
              </w:rPr>
              <w:t>cfr</w:t>
            </w:r>
            <w:proofErr w:type="spellEnd"/>
            <w:r w:rsidR="00D73E1D">
              <w:rPr>
                <w:b/>
              </w:rPr>
              <w:t xml:space="preserve"> § 5</w:t>
            </w:r>
            <w:r w:rsidRPr="00AB6090">
              <w:rPr>
                <w:b/>
              </w:rPr>
              <w:t>.2.2</w:t>
            </w:r>
            <w:r w:rsidR="00140063">
              <w:rPr>
                <w:b/>
              </w:rPr>
              <w:t>.3</w:t>
            </w:r>
            <w:r w:rsidRPr="00AB6090">
              <w:rPr>
                <w:b/>
              </w:rPr>
              <w:t xml:space="preserve">) </w:t>
            </w:r>
            <w:r w:rsidRPr="00AB6090">
              <w:t>et fait rapport au collège selon les procédures communales en vigueur dans la commune.</w:t>
            </w:r>
          </w:p>
        </w:tc>
        <w:tc>
          <w:tcPr>
            <w:tcW w:w="3486" w:type="dxa"/>
          </w:tcPr>
          <w:p w14:paraId="5A33EA03" w14:textId="77777777" w:rsidR="009D0348" w:rsidRPr="00AB6090" w:rsidRDefault="00CB10A6" w:rsidP="0063032F">
            <w:pPr>
              <w:jc w:val="both"/>
            </w:pPr>
            <w:r w:rsidRPr="00AB6090">
              <w:t>Demander l’avis de la zone de secours</w:t>
            </w:r>
          </w:p>
        </w:tc>
      </w:tr>
      <w:tr w:rsidR="009D0348" w:rsidRPr="00AB6090" w14:paraId="200701AF" w14:textId="77777777" w:rsidTr="009D0348">
        <w:tc>
          <w:tcPr>
            <w:tcW w:w="3485" w:type="dxa"/>
          </w:tcPr>
          <w:p w14:paraId="25224E83" w14:textId="0DD19B91" w:rsidR="009D0348" w:rsidRPr="00AB6090" w:rsidRDefault="00CB10A6" w:rsidP="0063032F">
            <w:pPr>
              <w:jc w:val="both"/>
            </w:pPr>
            <w:r w:rsidRPr="00AB6090">
              <w:t xml:space="preserve">3. Est-ce qu’il est prévu, sur le plan de l’événement, un élément qui pourrait causer un incendie à moins </w:t>
            </w:r>
            <w:r w:rsidR="00D73E1D">
              <w:t xml:space="preserve">de </w:t>
            </w:r>
            <w:r w:rsidRPr="00AB6090">
              <w:t>8 m des parois du chapiteau ? (par exemple : feu, feu d’artifice, …)</w:t>
            </w:r>
          </w:p>
        </w:tc>
        <w:tc>
          <w:tcPr>
            <w:tcW w:w="3485" w:type="dxa"/>
          </w:tcPr>
          <w:p w14:paraId="302AD0AE" w14:textId="77777777" w:rsidR="009D0348" w:rsidRPr="00AB6090" w:rsidRDefault="00CB10A6" w:rsidP="0063032F">
            <w:pPr>
              <w:jc w:val="both"/>
            </w:pPr>
            <w:r w:rsidRPr="00AB6090">
              <w:t>Demander l’avis de la zone de secours</w:t>
            </w:r>
          </w:p>
        </w:tc>
        <w:tc>
          <w:tcPr>
            <w:tcW w:w="3486" w:type="dxa"/>
          </w:tcPr>
          <w:p w14:paraId="75947BEC" w14:textId="51602D89" w:rsidR="009D0348" w:rsidRPr="00AB6090" w:rsidRDefault="00CB10A6" w:rsidP="0063032F">
            <w:pPr>
              <w:jc w:val="both"/>
              <w:rPr>
                <w:b/>
              </w:rPr>
            </w:pPr>
            <w:r w:rsidRPr="00AB6090">
              <w:t xml:space="preserve">Pas de nécessité de contacter la zone de secours. </w:t>
            </w:r>
            <w:r w:rsidRPr="00AB6090">
              <w:rPr>
                <w:b/>
              </w:rPr>
              <w:t>Le service communal traitant transmet à l’organisateur les recommandations de sécu</w:t>
            </w:r>
            <w:r w:rsidR="00D73E1D">
              <w:rPr>
                <w:b/>
              </w:rPr>
              <w:t>rité éditée par la zone (</w:t>
            </w:r>
            <w:proofErr w:type="spellStart"/>
            <w:r w:rsidR="00D73E1D">
              <w:rPr>
                <w:b/>
              </w:rPr>
              <w:t>cfr</w:t>
            </w:r>
            <w:proofErr w:type="spellEnd"/>
            <w:r w:rsidR="00D73E1D">
              <w:rPr>
                <w:b/>
              </w:rPr>
              <w:t xml:space="preserve"> § 5</w:t>
            </w:r>
            <w:r w:rsidRPr="00AB6090">
              <w:rPr>
                <w:b/>
              </w:rPr>
              <w:t>.2.2)</w:t>
            </w:r>
          </w:p>
          <w:p w14:paraId="5C630F55" w14:textId="77777777" w:rsidR="00CB10A6" w:rsidRPr="00AB6090" w:rsidRDefault="00CB10A6" w:rsidP="0063032F">
            <w:pPr>
              <w:jc w:val="both"/>
            </w:pPr>
            <w:r w:rsidRPr="00AB6090">
              <w:t>Il faut également que la commune s’assure de prévenir la zone de secours si  un contrôle doit être fait avant l’ouverture de la manifestation.  La zone de secours pourra ainsi contrôler que la demande de visite lui est bien formulée dans les temps par l’organisateur.</w:t>
            </w:r>
          </w:p>
          <w:p w14:paraId="5F5020CB" w14:textId="77777777" w:rsidR="00CB10A6" w:rsidRPr="00AB6090" w:rsidRDefault="00CB10A6" w:rsidP="0063032F">
            <w:pPr>
              <w:jc w:val="both"/>
            </w:pPr>
          </w:p>
        </w:tc>
      </w:tr>
    </w:tbl>
    <w:p w14:paraId="54CDAAA5" w14:textId="21A8575E" w:rsidR="005760C5" w:rsidRPr="001A0DEC" w:rsidRDefault="00CB10A6" w:rsidP="0063032F">
      <w:pPr>
        <w:pStyle w:val="Style3"/>
        <w:ind w:left="0"/>
        <w:jc w:val="both"/>
      </w:pPr>
      <w:bookmarkStart w:id="53" w:name="_Toc55899662"/>
      <w:bookmarkStart w:id="54" w:name="_Toc55900406"/>
      <w:bookmarkStart w:id="55" w:name="_Toc56426911"/>
      <w:r w:rsidRPr="001A0DEC">
        <w:t>Quand faut-il demander une visite de prévention du chapiteau avant l’admission du public ?</w:t>
      </w:r>
      <w:bookmarkEnd w:id="53"/>
      <w:bookmarkEnd w:id="54"/>
      <w:bookmarkEnd w:id="55"/>
    </w:p>
    <w:p w14:paraId="71186391" w14:textId="77777777" w:rsidR="005760C5" w:rsidRPr="00AB6090" w:rsidRDefault="005760C5" w:rsidP="0063032F">
      <w:pPr>
        <w:jc w:val="both"/>
      </w:pPr>
    </w:p>
    <w:tbl>
      <w:tblPr>
        <w:tblStyle w:val="Grilledutableau"/>
        <w:tblW w:w="0" w:type="auto"/>
        <w:tblLook w:val="04A0" w:firstRow="1" w:lastRow="0" w:firstColumn="1" w:lastColumn="0" w:noHBand="0" w:noVBand="1"/>
      </w:tblPr>
      <w:tblGrid>
        <w:gridCol w:w="3485"/>
        <w:gridCol w:w="3485"/>
        <w:gridCol w:w="3486"/>
      </w:tblGrid>
      <w:tr w:rsidR="00CB10A6" w:rsidRPr="00AB6090" w14:paraId="3CDD6EA8" w14:textId="77777777" w:rsidTr="00BC31EE">
        <w:tc>
          <w:tcPr>
            <w:tcW w:w="3485" w:type="dxa"/>
            <w:shd w:val="clear" w:color="auto" w:fill="D9D9D9" w:themeFill="background1" w:themeFillShade="D9"/>
          </w:tcPr>
          <w:p w14:paraId="4FB09388" w14:textId="77777777" w:rsidR="00CB10A6" w:rsidRPr="00AB6090" w:rsidRDefault="00CB10A6" w:rsidP="0063032F">
            <w:pPr>
              <w:jc w:val="both"/>
              <w:rPr>
                <w:b/>
              </w:rPr>
            </w:pPr>
            <w:r w:rsidRPr="00AB6090">
              <w:rPr>
                <w:b/>
              </w:rPr>
              <w:t>Questions</w:t>
            </w:r>
          </w:p>
        </w:tc>
        <w:tc>
          <w:tcPr>
            <w:tcW w:w="3485" w:type="dxa"/>
            <w:shd w:val="clear" w:color="auto" w:fill="D9D9D9" w:themeFill="background1" w:themeFillShade="D9"/>
          </w:tcPr>
          <w:p w14:paraId="4418AAF0" w14:textId="77777777" w:rsidR="00CB10A6" w:rsidRPr="00AB6090" w:rsidRDefault="00CB10A6" w:rsidP="0063032F">
            <w:pPr>
              <w:jc w:val="both"/>
              <w:rPr>
                <w:b/>
              </w:rPr>
            </w:pPr>
            <w:r w:rsidRPr="00AB6090">
              <w:rPr>
                <w:b/>
              </w:rPr>
              <w:t>Si oui</w:t>
            </w:r>
          </w:p>
        </w:tc>
        <w:tc>
          <w:tcPr>
            <w:tcW w:w="3486" w:type="dxa"/>
            <w:shd w:val="clear" w:color="auto" w:fill="D9D9D9" w:themeFill="background1" w:themeFillShade="D9"/>
          </w:tcPr>
          <w:p w14:paraId="01628D90" w14:textId="77777777" w:rsidR="00CB10A6" w:rsidRPr="00AB6090" w:rsidRDefault="00CB10A6" w:rsidP="0063032F">
            <w:pPr>
              <w:jc w:val="both"/>
              <w:rPr>
                <w:b/>
              </w:rPr>
            </w:pPr>
            <w:r w:rsidRPr="00AB6090">
              <w:rPr>
                <w:b/>
              </w:rPr>
              <w:t>Si non</w:t>
            </w:r>
          </w:p>
        </w:tc>
      </w:tr>
      <w:tr w:rsidR="00CB10A6" w:rsidRPr="00AB6090" w14:paraId="66B375F8" w14:textId="77777777" w:rsidTr="00BC31EE">
        <w:tc>
          <w:tcPr>
            <w:tcW w:w="3485" w:type="dxa"/>
          </w:tcPr>
          <w:p w14:paraId="15EAF65B" w14:textId="77777777" w:rsidR="00CB10A6" w:rsidRPr="00AB6090" w:rsidRDefault="00CB10A6" w:rsidP="0063032F">
            <w:pPr>
              <w:jc w:val="both"/>
            </w:pPr>
            <w:r w:rsidRPr="00AB6090">
              <w:t>La commune dispose-t-elle d’un règlement communal relatif à l’utilisation de chapiteaux pour l’accueil de public ?</w:t>
            </w:r>
          </w:p>
        </w:tc>
        <w:tc>
          <w:tcPr>
            <w:tcW w:w="3485" w:type="dxa"/>
          </w:tcPr>
          <w:p w14:paraId="71F9BF65" w14:textId="77777777" w:rsidR="00CB10A6" w:rsidRPr="00AB6090" w:rsidRDefault="00CB10A6" w:rsidP="0063032F">
            <w:pPr>
              <w:jc w:val="both"/>
            </w:pPr>
            <w:r w:rsidRPr="00AB6090">
              <w:t>Se référer à ce qui est prévu en termes de dimensions minimales nécessitant une visite de prévention incendie avant ouverture au public</w:t>
            </w:r>
          </w:p>
          <w:p w14:paraId="15308AB1" w14:textId="77777777" w:rsidR="00565ACC" w:rsidRPr="00AB6090" w:rsidRDefault="00565ACC" w:rsidP="0063032F">
            <w:pPr>
              <w:jc w:val="both"/>
            </w:pPr>
          </w:p>
          <w:p w14:paraId="02456BAA" w14:textId="77777777" w:rsidR="00565ACC" w:rsidRPr="00AB6090" w:rsidRDefault="00565ACC" w:rsidP="0063032F">
            <w:pPr>
              <w:widowControl w:val="0"/>
              <w:autoSpaceDE w:val="0"/>
              <w:autoSpaceDN w:val="0"/>
              <w:adjustRightInd w:val="0"/>
              <w:spacing w:line="259" w:lineRule="auto"/>
              <w:contextualSpacing/>
              <w:jc w:val="both"/>
              <w:rPr>
                <w:i/>
              </w:rPr>
            </w:pPr>
            <w:r w:rsidRPr="00AB6090">
              <w:rPr>
                <w:i/>
              </w:rPr>
              <w:t>REM : Le contrôle préalable des installations (chapiteaux, scènes, grand feux, brocantes, …) est soumis au règlement taxe de la zone de secours (facturation à l’organisateur).</w:t>
            </w:r>
          </w:p>
          <w:p w14:paraId="3C40178C" w14:textId="77777777" w:rsidR="00565ACC" w:rsidRPr="00AB6090" w:rsidRDefault="00565ACC" w:rsidP="0063032F">
            <w:pPr>
              <w:jc w:val="both"/>
            </w:pPr>
          </w:p>
        </w:tc>
        <w:tc>
          <w:tcPr>
            <w:tcW w:w="3486" w:type="dxa"/>
          </w:tcPr>
          <w:p w14:paraId="01D437F2" w14:textId="77777777" w:rsidR="00CB10A6" w:rsidRPr="00AB6090" w:rsidRDefault="00565ACC" w:rsidP="0063032F">
            <w:pPr>
              <w:jc w:val="both"/>
            </w:pPr>
            <w:r w:rsidRPr="00AB6090">
              <w:t>Il est laissé libre choix au Bourgmestre de demander un contrôle par la zone de secours.</w:t>
            </w:r>
            <w:r w:rsidR="00CB10A6" w:rsidRPr="00AB6090">
              <w:t xml:space="preserve">  La demande de visite doit être effectuée par l’organisateur au minimum 15 jours</w:t>
            </w:r>
            <w:r w:rsidRPr="00AB6090">
              <w:t xml:space="preserve"> ouvrables</w:t>
            </w:r>
            <w:r w:rsidR="00CB10A6" w:rsidRPr="00AB6090">
              <w:t xml:space="preserve"> avant l’événement, faute de quoi la visite ne peut pas être garantie.</w:t>
            </w:r>
          </w:p>
          <w:p w14:paraId="4573007A" w14:textId="77777777" w:rsidR="00565ACC" w:rsidRPr="00AB6090" w:rsidRDefault="00565ACC" w:rsidP="0063032F">
            <w:pPr>
              <w:jc w:val="both"/>
            </w:pPr>
          </w:p>
          <w:p w14:paraId="67E61FB0" w14:textId="77777777" w:rsidR="00565ACC" w:rsidRPr="00AB6090" w:rsidRDefault="00565ACC" w:rsidP="0063032F">
            <w:pPr>
              <w:widowControl w:val="0"/>
              <w:autoSpaceDE w:val="0"/>
              <w:autoSpaceDN w:val="0"/>
              <w:adjustRightInd w:val="0"/>
              <w:spacing w:line="259" w:lineRule="auto"/>
              <w:contextualSpacing/>
              <w:jc w:val="both"/>
              <w:rPr>
                <w:i/>
              </w:rPr>
            </w:pPr>
            <w:r w:rsidRPr="00AB6090">
              <w:rPr>
                <w:i/>
              </w:rPr>
              <w:t>REM : Le contrôle préalable des installations (chapiteaux, scènes, grand feux, brocantes, …) est soumis au règlement taxe de la zone de secours (facturation à l’organisateur).</w:t>
            </w:r>
          </w:p>
          <w:p w14:paraId="025A8BD7" w14:textId="77777777" w:rsidR="00565ACC" w:rsidRPr="00AB6090" w:rsidRDefault="00565ACC" w:rsidP="0063032F">
            <w:pPr>
              <w:jc w:val="both"/>
            </w:pPr>
          </w:p>
        </w:tc>
      </w:tr>
    </w:tbl>
    <w:p w14:paraId="0DC19426" w14:textId="77777777" w:rsidR="005760C5" w:rsidRPr="00AB6090" w:rsidRDefault="005760C5" w:rsidP="0063032F">
      <w:pPr>
        <w:jc w:val="both"/>
      </w:pPr>
    </w:p>
    <w:p w14:paraId="565D333F" w14:textId="77777777" w:rsidR="005760C5" w:rsidRPr="00AB6090" w:rsidRDefault="00565ACC" w:rsidP="0063032F">
      <w:pPr>
        <w:jc w:val="both"/>
      </w:pPr>
      <w:r w:rsidRPr="00AB6090">
        <w:t>L’autorisation fournie par le Collège communal à l’organisateur doit mentionner l’obligation de demande de visite de contrôle si la superficie le nécessite ou le Bourgmestre l’exige, l’adresse mail de contact et les délais associés (15j ouvrables avant la manifestation).</w:t>
      </w:r>
    </w:p>
    <w:p w14:paraId="5083CFA1" w14:textId="4AEEC92F" w:rsidR="00565ACC" w:rsidRPr="00443FB0" w:rsidRDefault="00565ACC" w:rsidP="0063032F">
      <w:pPr>
        <w:pStyle w:val="Style3"/>
        <w:ind w:left="0"/>
        <w:jc w:val="both"/>
      </w:pPr>
      <w:bookmarkStart w:id="56" w:name="_Toc55899663"/>
      <w:bookmarkStart w:id="57" w:name="_Toc55900407"/>
      <w:bookmarkStart w:id="58" w:name="_Toc56426912"/>
      <w:r w:rsidRPr="00443FB0">
        <w:lastRenderedPageBreak/>
        <w:t>Recommandations de sécurité</w:t>
      </w:r>
      <w:bookmarkEnd w:id="56"/>
      <w:bookmarkEnd w:id="57"/>
      <w:bookmarkEnd w:id="58"/>
    </w:p>
    <w:p w14:paraId="6BC121DC" w14:textId="77777777" w:rsidR="005760C5" w:rsidRPr="00AB6090" w:rsidRDefault="00565ACC" w:rsidP="0063032F">
      <w:pPr>
        <w:jc w:val="both"/>
      </w:pPr>
      <w:r w:rsidRPr="00AB6090">
        <w:t>Que votre chapiteau doive faire l’objet d’une visite ou non, vous êtes tenus de respecter les prescriptions minimales de sécurité ci-dessous :</w:t>
      </w:r>
    </w:p>
    <w:p w14:paraId="6B3CF4F9" w14:textId="77777777" w:rsidR="002271E8" w:rsidRPr="00AB6090" w:rsidRDefault="002271E8" w:rsidP="0063032F">
      <w:pPr>
        <w:pStyle w:val="Titre1"/>
        <w:jc w:val="both"/>
      </w:pPr>
      <w:bookmarkStart w:id="59" w:name="_Toc55899664"/>
      <w:bookmarkStart w:id="60" w:name="_Toc55900408"/>
      <w:bookmarkStart w:id="61" w:name="_Toc56426913"/>
      <w:r w:rsidRPr="00AB6090">
        <w:t>Montage t</w:t>
      </w:r>
      <w:r w:rsidR="00565ACC" w:rsidRPr="00AB6090">
        <w:t>onnelles</w:t>
      </w:r>
      <w:bookmarkEnd w:id="59"/>
      <w:bookmarkEnd w:id="60"/>
      <w:bookmarkEnd w:id="61"/>
    </w:p>
    <w:p w14:paraId="1C8EDEA2" w14:textId="77777777" w:rsidR="002271E8" w:rsidRPr="00AB6090" w:rsidRDefault="002271E8" w:rsidP="0063032F">
      <w:pPr>
        <w:jc w:val="both"/>
      </w:pPr>
      <w:r w:rsidRPr="00AB6090">
        <w:t>Si assemblage de plusieurs tonnelles, voir chapiteau.</w:t>
      </w:r>
    </w:p>
    <w:p w14:paraId="2FFFAF2A" w14:textId="77777777" w:rsidR="002271E8" w:rsidRPr="00AB6090" w:rsidRDefault="002271E8" w:rsidP="0063032F">
      <w:pPr>
        <w:jc w:val="both"/>
      </w:pPr>
      <w:r w:rsidRPr="00AB6090">
        <w:t>La toile des tentes et tonnelles est rarement ininflammable, la plus grande prudence est donc de rigueur. Les tentes, les tonnelles ou plus généralement toutes les structures provisoires devront être ancrées ou lestées au sol de manière à résister au vent.</w:t>
      </w:r>
    </w:p>
    <w:p w14:paraId="7EEFAE94" w14:textId="77777777" w:rsidR="002271E8" w:rsidRPr="00AB6090" w:rsidRDefault="002271E8" w:rsidP="0063032F">
      <w:pPr>
        <w:jc w:val="both"/>
      </w:pPr>
      <w:r w:rsidRPr="00AB6090">
        <w:t>La tonnelle sera montée en respectant les conditions du fournisseur.</w:t>
      </w:r>
    </w:p>
    <w:p w14:paraId="4C09592E" w14:textId="77777777" w:rsidR="006B060D" w:rsidRPr="00AB6090" w:rsidRDefault="006B060D" w:rsidP="0063032F">
      <w:pPr>
        <w:jc w:val="both"/>
      </w:pPr>
      <w:r w:rsidRPr="00AB6090">
        <w:t>Attacher ensemble plusieurs tonnelles ne constitue pas un ancrage conforme.</w:t>
      </w:r>
    </w:p>
    <w:p w14:paraId="5E717235" w14:textId="77777777" w:rsidR="002271E8" w:rsidRPr="00AB6090" w:rsidRDefault="002271E8" w:rsidP="0063032F">
      <w:pPr>
        <w:pStyle w:val="Titre1"/>
        <w:jc w:val="both"/>
      </w:pPr>
      <w:bookmarkStart w:id="62" w:name="_Toc55899665"/>
      <w:bookmarkStart w:id="63" w:name="_Toc55900409"/>
      <w:bookmarkStart w:id="64" w:name="_Toc56426914"/>
      <w:r w:rsidRPr="00AB6090">
        <w:t>Montage chapiteaux</w:t>
      </w:r>
      <w:bookmarkEnd w:id="62"/>
      <w:bookmarkEnd w:id="63"/>
      <w:bookmarkEnd w:id="64"/>
    </w:p>
    <w:p w14:paraId="41373C23" w14:textId="77777777" w:rsidR="002271E8" w:rsidRPr="00AB6090" w:rsidRDefault="002271E8" w:rsidP="0063032F">
      <w:pPr>
        <w:pStyle w:val="Titre4"/>
        <w:jc w:val="both"/>
      </w:pPr>
      <w:bookmarkStart w:id="65" w:name="_Toc55899666"/>
      <w:bookmarkStart w:id="66" w:name="_Toc55900410"/>
      <w:r w:rsidRPr="00AB6090">
        <w:t>De moins de 150m²</w:t>
      </w:r>
      <w:bookmarkEnd w:id="65"/>
      <w:bookmarkEnd w:id="66"/>
    </w:p>
    <w:p w14:paraId="7F0ADF3B" w14:textId="0E15264B" w:rsidR="002271E8" w:rsidRPr="00AB6090" w:rsidRDefault="002271E8" w:rsidP="0063032F">
      <w:pPr>
        <w:jc w:val="both"/>
      </w:pPr>
      <w:r w:rsidRPr="00AB6090">
        <w:t xml:space="preserve">Ils seront installés par du personnel compétent et conformément au mode d’emploi du fournisseur. A défaut d’indication du fournisseur, ils devront être lestés à l’ensemble de leurs pieds par des lests de 5Kg/m² de toile avec un </w:t>
      </w:r>
      <w:r w:rsidR="00B0195D" w:rsidRPr="00AB6090">
        <w:t>minimum de 120Kg. Les sangles qui relient les chapiteaux au plot de lestage devront être prévues pour soutenir le poids défini par le test.</w:t>
      </w:r>
    </w:p>
    <w:p w14:paraId="5F22D670" w14:textId="77777777" w:rsidR="00B0195D" w:rsidRPr="00AB6090" w:rsidRDefault="00B0195D" w:rsidP="0063032F">
      <w:pPr>
        <w:jc w:val="both"/>
      </w:pPr>
      <w:r w:rsidRPr="00AB6090">
        <w:t>Le lestage sera réalisé par des éléments indivisibles.</w:t>
      </w:r>
    </w:p>
    <w:p w14:paraId="56897834" w14:textId="77777777" w:rsidR="002271E8" w:rsidRPr="00AB6090" w:rsidRDefault="002271E8" w:rsidP="0063032F">
      <w:pPr>
        <w:pStyle w:val="Titre4"/>
        <w:jc w:val="both"/>
      </w:pPr>
      <w:bookmarkStart w:id="67" w:name="_Toc55899667"/>
      <w:bookmarkStart w:id="68" w:name="_Toc55900411"/>
      <w:r w:rsidRPr="00AB6090">
        <w:t>De plus de 150 m²</w:t>
      </w:r>
      <w:bookmarkEnd w:id="67"/>
      <w:bookmarkEnd w:id="68"/>
    </w:p>
    <w:p w14:paraId="72D543D8" w14:textId="2C8BE677" w:rsidR="005760C5" w:rsidRPr="00AB6090" w:rsidRDefault="00B0195D" w:rsidP="0063032F">
      <w:pPr>
        <w:jc w:val="both"/>
      </w:pPr>
      <w:r w:rsidRPr="00AB6090">
        <w:t xml:space="preserve">Ils doivent être installés par un monteur professionnel et faire l’objet d’un contrôle de stabilité par un organisme d’inspection accrédité. Ce </w:t>
      </w:r>
      <w:r w:rsidR="00140063" w:rsidRPr="00AB6090">
        <w:t>contrôle devra</w:t>
      </w:r>
      <w:r w:rsidRPr="00AB6090">
        <w:t xml:space="preserve"> être remis au représentant de la zone de secours si une visite de contrôle à lieu.</w:t>
      </w:r>
    </w:p>
    <w:p w14:paraId="611E7246"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373F2676" w14:textId="77777777" w:rsidR="00626592" w:rsidRPr="00AB6090" w:rsidRDefault="00626592" w:rsidP="0063032F">
      <w:pPr>
        <w:pStyle w:val="Paragraphedeliste"/>
        <w:numPr>
          <w:ilvl w:val="0"/>
          <w:numId w:val="18"/>
        </w:numPr>
        <w:jc w:val="both"/>
      </w:pPr>
      <w:r w:rsidRPr="00AB6090">
        <w:t>Une personne doit être désignée en tant que responsable des lieux pendant le montage et le démontage ainsi que pendant l’occupation du chapiteau ; elle doit disposer d’un moyen d’appel (GSM) et connaitre le numéro d’appel d’urgence des secours (112).</w:t>
      </w:r>
    </w:p>
    <w:p w14:paraId="0CB3562F" w14:textId="77777777" w:rsidR="00F40BF2" w:rsidRPr="00AB6090" w:rsidRDefault="00F40BF2" w:rsidP="0063032F">
      <w:pPr>
        <w:pStyle w:val="Paragraphedeliste"/>
        <w:numPr>
          <w:ilvl w:val="0"/>
          <w:numId w:val="18"/>
        </w:numPr>
        <w:jc w:val="both"/>
      </w:pPr>
      <w:r w:rsidRPr="00AB6090">
        <w:t xml:space="preserve">Il faut préserver un accès de 4 m de large pour que les services de secours puissent atteindre le chapiteau avec un véhicule. </w:t>
      </w:r>
    </w:p>
    <w:p w14:paraId="56FE1054" w14:textId="77777777" w:rsidR="00F40BF2" w:rsidRPr="00AB6090" w:rsidRDefault="00F40BF2" w:rsidP="0063032F">
      <w:pPr>
        <w:pStyle w:val="Paragraphedeliste"/>
        <w:numPr>
          <w:ilvl w:val="0"/>
          <w:numId w:val="18"/>
        </w:numPr>
        <w:jc w:val="both"/>
      </w:pPr>
      <w:r w:rsidRPr="00AB6090">
        <w:t>Les bouches d'incendie doivent rester accessibles et opérationnelles.</w:t>
      </w:r>
    </w:p>
    <w:p w14:paraId="6BC55CC0" w14:textId="77777777" w:rsidR="00F40BF2" w:rsidRPr="00AB6090" w:rsidRDefault="00F40BF2" w:rsidP="0063032F">
      <w:pPr>
        <w:pStyle w:val="Paragraphedeliste"/>
        <w:numPr>
          <w:ilvl w:val="0"/>
          <w:numId w:val="18"/>
        </w:numPr>
        <w:jc w:val="both"/>
      </w:pPr>
      <w:r w:rsidRPr="00AB6090">
        <w:t>Le chapiteau doit être monté en respectant les conditions du fournisseur, notamment en termes d'amarrage.</w:t>
      </w:r>
    </w:p>
    <w:p w14:paraId="0D8423B8" w14:textId="77777777" w:rsidR="00F40BF2" w:rsidRPr="00AB6090" w:rsidRDefault="00F40BF2" w:rsidP="0063032F">
      <w:pPr>
        <w:pStyle w:val="Paragraphedeliste"/>
        <w:numPr>
          <w:ilvl w:val="0"/>
          <w:numId w:val="18"/>
        </w:numPr>
        <w:jc w:val="both"/>
      </w:pPr>
      <w:r w:rsidRPr="00AB6090">
        <w:t xml:space="preserve">En cas d'utilisation après la tombée du jour, un éclairage suffisant doit fonctionner dans un périmètre de 50 m autour du chapiteau, jusqu'à une heure après la fin effective de la manifestation. </w:t>
      </w:r>
    </w:p>
    <w:p w14:paraId="215B07F6" w14:textId="77777777" w:rsidR="00F40BF2" w:rsidRPr="00AB6090" w:rsidRDefault="00F40BF2" w:rsidP="0063032F">
      <w:pPr>
        <w:pStyle w:val="Paragraphedeliste"/>
        <w:numPr>
          <w:ilvl w:val="0"/>
          <w:numId w:val="18"/>
        </w:numPr>
        <w:jc w:val="both"/>
      </w:pPr>
      <w:r w:rsidRPr="00AB6090">
        <w:t xml:space="preserve">La capacité maximale d’un chapiteau de moins de 200 m² est de 250 personnes. Si la superficie du chapiteau est supérieure à 200 m², la capacité maximale du chapiteau est fixée par la zone de secours (les pompiers) en fonction de la superficie, des équipements qui y sont installés et de la possibilité d'installer des sorties de secours. </w:t>
      </w:r>
    </w:p>
    <w:p w14:paraId="3C4D3219" w14:textId="77777777" w:rsidR="00F40BF2" w:rsidRPr="00AB6090" w:rsidRDefault="00F40BF2" w:rsidP="0063032F">
      <w:pPr>
        <w:pStyle w:val="Paragraphedeliste"/>
        <w:numPr>
          <w:ilvl w:val="0"/>
          <w:numId w:val="18"/>
        </w:numPr>
        <w:jc w:val="both"/>
      </w:pPr>
      <w:r w:rsidRPr="00AB6090">
        <w:t xml:space="preserve">Le nombre minimum de sorties de secours est déterminé en fonction du nombre de personnes admissibles : </w:t>
      </w:r>
    </w:p>
    <w:p w14:paraId="7887B8BA" w14:textId="77777777" w:rsidR="00F40BF2" w:rsidRPr="00AB6090" w:rsidRDefault="00F40BF2" w:rsidP="0063032F">
      <w:pPr>
        <w:spacing w:after="0"/>
        <w:ind w:left="1701"/>
        <w:jc w:val="both"/>
      </w:pPr>
      <w:proofErr w:type="gramStart"/>
      <w:r w:rsidRPr="00AB6090">
        <w:t>o</w:t>
      </w:r>
      <w:proofErr w:type="gramEnd"/>
      <w:r w:rsidRPr="00AB6090">
        <w:t xml:space="preserve"> De 1 à 50 personnes </w:t>
      </w:r>
      <w:r w:rsidRPr="00AB6090">
        <w:rPr>
          <w:rFonts w:hint="eastAsia"/>
        </w:rPr>
        <w:t>→</w:t>
      </w:r>
      <w:r w:rsidRPr="00AB6090">
        <w:t xml:space="preserve"> 1 sortie </w:t>
      </w:r>
    </w:p>
    <w:p w14:paraId="09C6BB00" w14:textId="77777777" w:rsidR="00F40BF2" w:rsidRPr="00AB6090" w:rsidRDefault="00F40BF2" w:rsidP="0063032F">
      <w:pPr>
        <w:spacing w:after="0"/>
        <w:ind w:left="1701"/>
        <w:jc w:val="both"/>
      </w:pPr>
      <w:proofErr w:type="gramStart"/>
      <w:r w:rsidRPr="00AB6090">
        <w:t>o</w:t>
      </w:r>
      <w:proofErr w:type="gramEnd"/>
      <w:r w:rsidRPr="00AB6090">
        <w:t xml:space="preserve"> De 51 à 250 personnes </w:t>
      </w:r>
      <w:r w:rsidRPr="00AB6090">
        <w:rPr>
          <w:rFonts w:hint="eastAsia"/>
        </w:rPr>
        <w:t>→</w:t>
      </w:r>
      <w:r w:rsidRPr="00AB6090">
        <w:t xml:space="preserve"> 2 sorties </w:t>
      </w:r>
    </w:p>
    <w:p w14:paraId="28009331" w14:textId="77777777" w:rsidR="00F40BF2" w:rsidRPr="00AB6090" w:rsidRDefault="00F40BF2" w:rsidP="0063032F">
      <w:pPr>
        <w:spacing w:after="0"/>
        <w:ind w:left="1701"/>
        <w:jc w:val="both"/>
      </w:pPr>
      <w:proofErr w:type="gramStart"/>
      <w:r w:rsidRPr="00AB6090">
        <w:t>o</w:t>
      </w:r>
      <w:proofErr w:type="gramEnd"/>
      <w:r w:rsidRPr="00AB6090">
        <w:t xml:space="preserve"> De 251 à 500 personnes </w:t>
      </w:r>
      <w:r w:rsidRPr="00AB6090">
        <w:rPr>
          <w:rFonts w:hint="eastAsia"/>
        </w:rPr>
        <w:t>→</w:t>
      </w:r>
      <w:r w:rsidRPr="00AB6090">
        <w:t xml:space="preserve"> 3 sorties </w:t>
      </w:r>
    </w:p>
    <w:p w14:paraId="391B8E60" w14:textId="77777777" w:rsidR="00F40BF2" w:rsidRPr="00AB6090" w:rsidRDefault="00F40BF2" w:rsidP="0063032F">
      <w:pPr>
        <w:spacing w:after="0"/>
        <w:ind w:left="1701"/>
        <w:jc w:val="both"/>
      </w:pPr>
      <w:proofErr w:type="gramStart"/>
      <w:r w:rsidRPr="00AB6090">
        <w:t>o</w:t>
      </w:r>
      <w:proofErr w:type="gramEnd"/>
      <w:r w:rsidRPr="00AB6090">
        <w:t xml:space="preserve"> </w:t>
      </w:r>
      <w:r w:rsidRPr="00AB6090">
        <w:rPr>
          <w:rFonts w:hint="eastAsia"/>
        </w:rPr>
        <w:t xml:space="preserve">Plus de 500 personnes </w:t>
      </w:r>
      <w:r w:rsidRPr="00AB6090">
        <w:rPr>
          <w:rFonts w:hint="eastAsia"/>
        </w:rPr>
        <w:t>→</w:t>
      </w:r>
      <w:r w:rsidRPr="00AB6090">
        <w:rPr>
          <w:rFonts w:hint="eastAsia"/>
        </w:rPr>
        <w:t xml:space="preserve"> 1 </w:t>
      </w:r>
      <w:proofErr w:type="gramStart"/>
      <w:r w:rsidRPr="00AB6090">
        <w:rPr>
          <w:rFonts w:hint="eastAsia"/>
        </w:rPr>
        <w:t>sortie supplémentaires</w:t>
      </w:r>
      <w:proofErr w:type="gramEnd"/>
      <w:r w:rsidRPr="00AB6090">
        <w:rPr>
          <w:rFonts w:hint="eastAsia"/>
        </w:rPr>
        <w:t xml:space="preserve"> par tranches de 500 </w:t>
      </w:r>
      <w:r w:rsidRPr="00AB6090">
        <w:t>p</w:t>
      </w:r>
      <w:r w:rsidRPr="00AB6090">
        <w:rPr>
          <w:rFonts w:hint="eastAsia"/>
        </w:rPr>
        <w:t>ersonnes ou fraction de ce nombre.</w:t>
      </w:r>
    </w:p>
    <w:p w14:paraId="7131CEF7" w14:textId="77777777" w:rsidR="00F40BF2" w:rsidRPr="00AB6090" w:rsidRDefault="00F40BF2" w:rsidP="0063032F">
      <w:pPr>
        <w:spacing w:after="0"/>
        <w:jc w:val="both"/>
      </w:pPr>
    </w:p>
    <w:p w14:paraId="1EDDCE9F" w14:textId="77777777" w:rsidR="00F40BF2" w:rsidRPr="00AB6090" w:rsidRDefault="00F40BF2" w:rsidP="0063032F">
      <w:pPr>
        <w:pStyle w:val="Paragraphedeliste"/>
        <w:numPr>
          <w:ilvl w:val="0"/>
          <w:numId w:val="17"/>
        </w:numPr>
        <w:spacing w:after="0"/>
        <w:jc w:val="both"/>
      </w:pPr>
      <w:r w:rsidRPr="00AB6090">
        <w:t xml:space="preserve">Les sorties de secours sont équitablement réparties sur les différentes façades.  Elles doivent permettre au public de se rendre jusqu'à la voie publique (pas d'obstacle dans la voie d'évacuation menant jusqu'à la sortie de secours et dans la voie d'évacuation entre la sortie de secours et la voie publique).   </w:t>
      </w:r>
    </w:p>
    <w:p w14:paraId="3E4C6B06" w14:textId="77777777" w:rsidR="00F40BF2" w:rsidRPr="00AB6090" w:rsidRDefault="00F40BF2" w:rsidP="0063032F">
      <w:pPr>
        <w:pStyle w:val="Paragraphedeliste"/>
        <w:numPr>
          <w:ilvl w:val="0"/>
          <w:numId w:val="17"/>
        </w:numPr>
        <w:spacing w:after="0"/>
        <w:jc w:val="both"/>
      </w:pPr>
      <w:r w:rsidRPr="00AB6090">
        <w:t xml:space="preserve">Aucun objet ne peut se trouver dans les dégagements et voies d'évacuation. </w:t>
      </w:r>
    </w:p>
    <w:p w14:paraId="14B2A70A" w14:textId="77777777" w:rsidR="006B060D" w:rsidRPr="00AB6090" w:rsidRDefault="006B060D" w:rsidP="0063032F">
      <w:pPr>
        <w:pStyle w:val="Paragraphedeliste"/>
        <w:numPr>
          <w:ilvl w:val="0"/>
          <w:numId w:val="17"/>
        </w:numPr>
        <w:spacing w:after="0"/>
        <w:jc w:val="both"/>
      </w:pPr>
      <w:r w:rsidRPr="00AB6090">
        <w:t>Si des portes sont installées dans les sorties de secours, elles doivent être dotées d’un dispositif d’ouverture à barre anti-panique. Les portes doivent s’ouvrir dans le sens de l’évacuation : les tourniquets ou autres dispositifs gênant le passage sont interdits. Les portes ne peuvent être verrouillées en présence de public.</w:t>
      </w:r>
    </w:p>
    <w:p w14:paraId="24BEE6A7" w14:textId="77777777" w:rsidR="006B060D" w:rsidRPr="00AB6090" w:rsidRDefault="00F40BF2" w:rsidP="0063032F">
      <w:pPr>
        <w:pStyle w:val="Paragraphedeliste"/>
        <w:numPr>
          <w:ilvl w:val="0"/>
          <w:numId w:val="17"/>
        </w:numPr>
        <w:spacing w:after="0"/>
        <w:jc w:val="both"/>
      </w:pPr>
      <w:r w:rsidRPr="00AB6090">
        <w:t>Les sorties doivent être si</w:t>
      </w:r>
      <w:r w:rsidR="006B060D" w:rsidRPr="00AB6090">
        <w:t xml:space="preserve">gnalées par des pictogrammes réglementaires (AR du 17/06/197, annexe II). Les pictogrammes doivent être visibles de n’importe quel endroit du chapiteau. </w:t>
      </w:r>
    </w:p>
    <w:p w14:paraId="4AA35B1A" w14:textId="77777777" w:rsidR="00F13510" w:rsidRPr="00AB6090" w:rsidRDefault="00F40BF2" w:rsidP="0063032F">
      <w:pPr>
        <w:pStyle w:val="Paragraphedeliste"/>
        <w:numPr>
          <w:ilvl w:val="0"/>
          <w:numId w:val="17"/>
        </w:numPr>
        <w:spacing w:after="0"/>
        <w:jc w:val="both"/>
      </w:pPr>
      <w:r w:rsidRPr="00AB6090">
        <w:t xml:space="preserve">En cas d'utilisation nocturne, un éclairage de sécurité doit être prévu, dont la puissance est suffisante pour permettre une évacuation aisée (un bloc autonome au-dessus de chaque sortie et tous les 10 m dans les voies d'évacuation). </w:t>
      </w:r>
    </w:p>
    <w:p w14:paraId="77EAC464" w14:textId="77777777" w:rsidR="00A56FA0" w:rsidRPr="00AB6090" w:rsidRDefault="00A56FA0" w:rsidP="0063032F">
      <w:pPr>
        <w:pStyle w:val="Paragraphedeliste"/>
        <w:numPr>
          <w:ilvl w:val="0"/>
          <w:numId w:val="17"/>
        </w:numPr>
        <w:spacing w:after="0"/>
        <w:jc w:val="both"/>
      </w:pPr>
      <w:r w:rsidRPr="00AB6090">
        <w:t>Les appareils de chauffage à flamme nue ou à résistance apparente sont interdits dans les chapiteaux/chalets/tonnelles sauf s’ils sont électriques</w:t>
      </w:r>
      <w:r w:rsidR="00F13510" w:rsidRPr="00AB6090">
        <w:t>. Les</w:t>
      </w:r>
      <w:r w:rsidRPr="00AB6090">
        <w:t xml:space="preserve"> bouteilles de gaz, friteuses, vélums sont également interdit dans les chapiteaux/chalets/tonnelles</w:t>
      </w:r>
      <w:r w:rsidR="00F13510" w:rsidRPr="00AB6090">
        <w:t>.</w:t>
      </w:r>
    </w:p>
    <w:p w14:paraId="047D2944" w14:textId="77777777" w:rsidR="00F40BF2" w:rsidRPr="00AB6090" w:rsidRDefault="00F13510" w:rsidP="0063032F">
      <w:pPr>
        <w:pStyle w:val="Paragraphedeliste"/>
        <w:numPr>
          <w:ilvl w:val="0"/>
          <w:numId w:val="17"/>
        </w:numPr>
        <w:spacing w:after="0"/>
        <w:jc w:val="both"/>
      </w:pPr>
      <w:r w:rsidRPr="00AB6090">
        <w:t>Les canons à chaleur sont autorisés à condition d’être installés à l’extérieur du chapiteau, à plus d’un mètre de la toile, d’être isolés et que les gaz d’échappement soient évacués vers l’extérieur du chapiteau.</w:t>
      </w:r>
    </w:p>
    <w:p w14:paraId="50A4CFC6" w14:textId="77777777" w:rsidR="00F40BF2" w:rsidRPr="00AB6090" w:rsidRDefault="00F40BF2" w:rsidP="0063032F">
      <w:pPr>
        <w:pStyle w:val="Paragraphedeliste"/>
        <w:numPr>
          <w:ilvl w:val="0"/>
          <w:numId w:val="17"/>
        </w:numPr>
        <w:spacing w:after="0"/>
        <w:jc w:val="both"/>
      </w:pPr>
      <w:r w:rsidRPr="00AB6090">
        <w:t xml:space="preserve">Pas de bouteilles de gaz à l'intérieur du chapiteau, pas de pétrole liquéfié ni de liquide inflammable.   </w:t>
      </w:r>
    </w:p>
    <w:p w14:paraId="5DC3B000" w14:textId="77777777" w:rsidR="00F40BF2" w:rsidRPr="00AB6090" w:rsidRDefault="00F40BF2" w:rsidP="0063032F">
      <w:pPr>
        <w:pStyle w:val="Paragraphedeliste"/>
        <w:numPr>
          <w:ilvl w:val="0"/>
          <w:numId w:val="17"/>
        </w:numPr>
        <w:spacing w:after="0"/>
        <w:jc w:val="both"/>
      </w:pPr>
      <w:r w:rsidRPr="00AB6090">
        <w:lastRenderedPageBreak/>
        <w:t xml:space="preserve">Pas d'appareils de cuisson, de friteuses, de barbecue, etc. à l'intérieur du chapiteau. </w:t>
      </w:r>
    </w:p>
    <w:p w14:paraId="3743DE5F" w14:textId="77777777" w:rsidR="00F40BF2" w:rsidRPr="00AB6090" w:rsidRDefault="00F40BF2" w:rsidP="0063032F">
      <w:pPr>
        <w:pStyle w:val="Paragraphedeliste"/>
        <w:numPr>
          <w:ilvl w:val="0"/>
          <w:numId w:val="17"/>
        </w:numPr>
        <w:spacing w:after="0"/>
        <w:jc w:val="both"/>
      </w:pPr>
      <w:r w:rsidRPr="00AB6090">
        <w:t xml:space="preserve">Les appareils électriques doivent être porteurs du label CE ou similaire en normes européennes.  Ils doivent être alimentés par des circuits avec terre, adaptés à la puissance des appareils.  Ces circuits sont protégés par des disjoncteurs différentiels et autres protections thermiques adaptées aux puissances demandées.  Les cordelières et rallonges ne pourront gêner les mouvements de foule. </w:t>
      </w:r>
    </w:p>
    <w:p w14:paraId="41B6AB58" w14:textId="77777777" w:rsidR="00F40BF2" w:rsidRPr="00AB6090" w:rsidRDefault="00F40BF2" w:rsidP="0063032F">
      <w:pPr>
        <w:pStyle w:val="Paragraphedeliste"/>
        <w:numPr>
          <w:ilvl w:val="0"/>
          <w:numId w:val="17"/>
        </w:numPr>
        <w:spacing w:after="0"/>
        <w:jc w:val="both"/>
      </w:pPr>
      <w:r w:rsidRPr="00AB6090">
        <w:t xml:space="preserve">Il est interdit de fumer à l'intérieur du chapiteau. </w:t>
      </w:r>
    </w:p>
    <w:p w14:paraId="17D817BA" w14:textId="77777777" w:rsidR="00F40BF2" w:rsidRPr="00AB6090" w:rsidRDefault="00F40BF2" w:rsidP="0063032F">
      <w:pPr>
        <w:pStyle w:val="Paragraphedeliste"/>
        <w:numPr>
          <w:ilvl w:val="0"/>
          <w:numId w:val="17"/>
        </w:numPr>
        <w:spacing w:after="0"/>
        <w:jc w:val="both"/>
      </w:pPr>
      <w:r w:rsidRPr="00AB6090">
        <w:t xml:space="preserve">Il est interdit de déposer des matières combustibles ou inflammables (papiers, cartons, emballages, paille, etc.) dans le chapiteau ou à moins de 4 m des parois. </w:t>
      </w:r>
    </w:p>
    <w:p w14:paraId="5812FC5B" w14:textId="77777777" w:rsidR="00F40BF2" w:rsidRPr="00AB6090" w:rsidRDefault="00F40BF2" w:rsidP="0063032F">
      <w:pPr>
        <w:pStyle w:val="Paragraphedeliste"/>
        <w:numPr>
          <w:ilvl w:val="0"/>
          <w:numId w:val="17"/>
        </w:numPr>
        <w:spacing w:after="0"/>
        <w:jc w:val="both"/>
      </w:pPr>
      <w:r w:rsidRPr="00AB6090">
        <w:t xml:space="preserve">Il est interdit de décorer le chapiteau avec des matières combustibles ou inflammables.  Les vélums sont strictement interdits.  Les éléments de décor devront être classés au minimum A2 en ce qui concerne la réaction au feu.  </w:t>
      </w:r>
    </w:p>
    <w:p w14:paraId="6B681B54" w14:textId="77777777" w:rsidR="00F40BF2" w:rsidRPr="00AB6090" w:rsidRDefault="00F40BF2" w:rsidP="0063032F">
      <w:pPr>
        <w:pStyle w:val="Paragraphedeliste"/>
        <w:numPr>
          <w:ilvl w:val="0"/>
          <w:numId w:val="17"/>
        </w:numPr>
        <w:spacing w:after="0"/>
        <w:jc w:val="both"/>
      </w:pPr>
      <w:r w:rsidRPr="00AB6090">
        <w:t xml:space="preserve">La toile du chapiteau et l'agencement principal intérieur doivent être classés au minimum A2 en ce qui concerne la réaction au feu. </w:t>
      </w:r>
    </w:p>
    <w:p w14:paraId="13ED516A" w14:textId="77777777" w:rsidR="00F40BF2" w:rsidRPr="00AB6090" w:rsidRDefault="00F40BF2" w:rsidP="0063032F">
      <w:pPr>
        <w:pStyle w:val="Paragraphedeliste"/>
        <w:numPr>
          <w:ilvl w:val="0"/>
          <w:numId w:val="17"/>
        </w:numPr>
        <w:spacing w:after="0"/>
        <w:jc w:val="both"/>
      </w:pPr>
      <w:r w:rsidRPr="00AB6090">
        <w:t>Les déchets seront stockés à plus de 4 m du chapiteau, dans une zone inaccessible au public.</w:t>
      </w:r>
    </w:p>
    <w:p w14:paraId="12591891" w14:textId="77777777" w:rsidR="00F40BF2" w:rsidRPr="00AB6090" w:rsidRDefault="00F40BF2" w:rsidP="0063032F">
      <w:pPr>
        <w:pStyle w:val="Paragraphedeliste"/>
        <w:numPr>
          <w:ilvl w:val="0"/>
          <w:numId w:val="17"/>
        </w:numPr>
        <w:jc w:val="both"/>
      </w:pPr>
      <w:r w:rsidRPr="00AB6090">
        <w:t xml:space="preserve">Des extincteurs sont prévus en nombre suffisant.  On prévoit un minimum de 1 extincteur à poudre polyvalente de 6 kg par 150 m² de surface.  Ces extincteurs peuvent être remplacés par des extincteurs à mousse (moins de dégâts s'ils sont déclenchés accidentellement – laissé au choix de l'organisateur). </w:t>
      </w:r>
    </w:p>
    <w:p w14:paraId="7F1029F8" w14:textId="77777777" w:rsidR="00F40BF2" w:rsidRPr="00AB6090" w:rsidRDefault="00F40BF2" w:rsidP="0063032F">
      <w:pPr>
        <w:pStyle w:val="Paragraphedeliste"/>
        <w:numPr>
          <w:ilvl w:val="0"/>
          <w:numId w:val="17"/>
        </w:numPr>
        <w:jc w:val="both"/>
      </w:pPr>
      <w:r w:rsidRPr="00AB6090">
        <w:t>Un extincteur à dioxyde de carbone de 5 kg sera placé à proximité des tableaux principaux d'électricité ainsi qu'à proximité des appareils utilisant une forte puissance électrique (à la régie).</w:t>
      </w:r>
    </w:p>
    <w:p w14:paraId="2A27113F" w14:textId="77777777" w:rsidR="00F40BF2" w:rsidRPr="00AB6090" w:rsidRDefault="00F40BF2" w:rsidP="0063032F">
      <w:pPr>
        <w:pStyle w:val="Paragraphedeliste"/>
        <w:numPr>
          <w:ilvl w:val="0"/>
          <w:numId w:val="17"/>
        </w:numPr>
        <w:jc w:val="both"/>
      </w:pPr>
      <w:r w:rsidRPr="00AB6090">
        <w:t xml:space="preserve">Le matériel de lutte contre l'incendie sera identifié par les pictogrammes adéquats, en conformité avec l'AR du 17.06.1997 concernant la signalisation de sécurité et de santé au travail. </w:t>
      </w:r>
    </w:p>
    <w:p w14:paraId="37CD64FF" w14:textId="77777777" w:rsidR="00F40BF2" w:rsidRPr="00AB6090" w:rsidRDefault="00F40BF2" w:rsidP="0063032F">
      <w:pPr>
        <w:pStyle w:val="Paragraphedeliste"/>
        <w:numPr>
          <w:ilvl w:val="0"/>
          <w:numId w:val="17"/>
        </w:numPr>
        <w:jc w:val="both"/>
      </w:pPr>
      <w:r w:rsidRPr="00AB6090">
        <w:t xml:space="preserve">Les extincteurs doivent avoir été contrôlés, la date du dernier contrôle ne peut être supérieure à un an. </w:t>
      </w:r>
    </w:p>
    <w:p w14:paraId="5DA84C92" w14:textId="77777777" w:rsidR="00F40BF2" w:rsidRPr="00AB6090" w:rsidRDefault="00F40BF2" w:rsidP="0063032F">
      <w:pPr>
        <w:pStyle w:val="Paragraphedeliste"/>
        <w:numPr>
          <w:ilvl w:val="0"/>
          <w:numId w:val="17"/>
        </w:numPr>
        <w:jc w:val="both"/>
      </w:pPr>
      <w:r w:rsidRPr="00AB6090">
        <w:t xml:space="preserve">Un éclairage uniforme blanc et permanent devra être prévu à l'intérieur du chapiteau afin de permettre l'identification visuelle des personnes, cet éclairage sera immédiatement actionné par l'organisateur ou son préposé sur demande des forces de police, du service de gardiennage ou des services de secours.  </w:t>
      </w:r>
    </w:p>
    <w:p w14:paraId="1C8E7740" w14:textId="77777777" w:rsidR="005760C5" w:rsidRPr="00AB6090" w:rsidRDefault="00F40BF2" w:rsidP="0063032F">
      <w:pPr>
        <w:pStyle w:val="Paragraphedeliste"/>
        <w:numPr>
          <w:ilvl w:val="0"/>
          <w:numId w:val="17"/>
        </w:numPr>
        <w:jc w:val="both"/>
      </w:pPr>
      <w:r w:rsidRPr="00AB6090">
        <w:t>L'organisateur sera particulièrement attentif à la surveillance des conditions météorologiques et prendra les mesures adéquates (notamment en prévision de vents violents, en cas de chute de neige</w:t>
      </w:r>
      <w:r w:rsidR="006B060D" w:rsidRPr="00AB6090">
        <w:t>, de fortes précipitations</w:t>
      </w:r>
      <w:r w:rsidRPr="00AB6090">
        <w:t>).</w:t>
      </w:r>
    </w:p>
    <w:p w14:paraId="256C914D" w14:textId="7DFE469A" w:rsidR="005760C5" w:rsidRPr="00AB6090" w:rsidRDefault="006B060D" w:rsidP="0063032F">
      <w:pPr>
        <w:pStyle w:val="Style3"/>
        <w:jc w:val="both"/>
      </w:pPr>
      <w:bookmarkStart w:id="69" w:name="_Toc55899668"/>
      <w:bookmarkStart w:id="70" w:name="_Toc55900412"/>
      <w:bookmarkStart w:id="71" w:name="_Toc56426915"/>
      <w:r w:rsidRPr="00AB6090">
        <w:t>Contrôle du chapiteau :</w:t>
      </w:r>
      <w:bookmarkEnd w:id="69"/>
      <w:bookmarkEnd w:id="70"/>
      <w:bookmarkEnd w:id="71"/>
      <w:r w:rsidRPr="00AB6090">
        <w:t xml:space="preserve"> </w:t>
      </w:r>
    </w:p>
    <w:p w14:paraId="510F0D97" w14:textId="0A6D7166" w:rsidR="006B060D" w:rsidRPr="00AB6090" w:rsidRDefault="006B060D" w:rsidP="0063032F">
      <w:pPr>
        <w:pStyle w:val="Paragraphedeliste"/>
        <w:numPr>
          <w:ilvl w:val="0"/>
          <w:numId w:val="19"/>
        </w:numPr>
        <w:jc w:val="both"/>
      </w:pPr>
      <w:r w:rsidRPr="00AB6090">
        <w:t>Si le règlement communal relatif à l’utilisation de chapiteaux pour l’accueil de public et/ou le Bourgmestre le nécessite, l'organisateur doit commander une visite de prévention auprès de la zone de secours (</w:t>
      </w:r>
      <w:hyperlink r:id="rId18" w:history="1">
        <w:r w:rsidR="00626592" w:rsidRPr="00AB6090">
          <w:rPr>
            <w:rStyle w:val="Lienhypertexte"/>
          </w:rPr>
          <w:t>event@zsdinaphi.be</w:t>
        </w:r>
      </w:hyperlink>
      <w:r w:rsidR="00626592" w:rsidRPr="00AB6090">
        <w:t xml:space="preserve"> – 15 jours ouvrables minimum avant la manifestation</w:t>
      </w:r>
      <w:r w:rsidRPr="00AB6090">
        <w:t xml:space="preserve">). </w:t>
      </w:r>
    </w:p>
    <w:p w14:paraId="498932CC" w14:textId="0B6A090E" w:rsidR="00626592" w:rsidRPr="00AB6090" w:rsidRDefault="00626592" w:rsidP="0063032F">
      <w:pPr>
        <w:pStyle w:val="Paragraphedeliste"/>
        <w:numPr>
          <w:ilvl w:val="0"/>
          <w:numId w:val="19"/>
        </w:numPr>
        <w:jc w:val="both"/>
      </w:pPr>
      <w:r w:rsidRPr="00AB6090">
        <w:t>L’officier de la zone en charge du contrôle du chapiteau, se chargera de vérifier les points qui concerne son domaine (pompiers : sor</w:t>
      </w:r>
      <w:r w:rsidR="004868ED">
        <w:t>t</w:t>
      </w:r>
      <w:r w:rsidRPr="00AB6090">
        <w:t xml:space="preserve">ies de secours, capacité, éclairages, chauffage, extincteurs, …). Il n’est pas habilité à contrôler la stabilité, l’arrimage, l’installation </w:t>
      </w:r>
      <w:r w:rsidR="00140063" w:rsidRPr="00AB6090">
        <w:t>électriques, …</w:t>
      </w:r>
      <w:r w:rsidRPr="00AB6090">
        <w:t>)</w:t>
      </w:r>
    </w:p>
    <w:p w14:paraId="2F6E86E4" w14:textId="77777777" w:rsidR="00626592" w:rsidRPr="00AB6090" w:rsidRDefault="006B060D" w:rsidP="0063032F">
      <w:pPr>
        <w:pStyle w:val="Paragraphedeliste"/>
        <w:numPr>
          <w:ilvl w:val="0"/>
          <w:numId w:val="19"/>
        </w:numPr>
        <w:jc w:val="both"/>
      </w:pPr>
      <w:r w:rsidRPr="00AB6090">
        <w:t>Les attestations de conformité suivantes doivent être disponibles dans le chapiteau et doivent être présentées lors de la visite de prévention incendie</w:t>
      </w:r>
      <w:r w:rsidR="00626592" w:rsidRPr="00AB6090">
        <w:t> :</w:t>
      </w:r>
    </w:p>
    <w:p w14:paraId="3E3996F2" w14:textId="77777777" w:rsidR="00626592" w:rsidRPr="00AB6090" w:rsidRDefault="00626592" w:rsidP="0063032F">
      <w:pPr>
        <w:pStyle w:val="Paragraphedeliste"/>
        <w:numPr>
          <w:ilvl w:val="2"/>
          <w:numId w:val="19"/>
        </w:numPr>
        <w:jc w:val="both"/>
      </w:pPr>
      <w:r w:rsidRPr="00AB6090">
        <w:t xml:space="preserve">Rapport de contrôle des installations électriques par un service externe de contrôle technique (SECT) ; </w:t>
      </w:r>
    </w:p>
    <w:p w14:paraId="42608BA5" w14:textId="77777777" w:rsidR="00626592" w:rsidRPr="00AB6090" w:rsidRDefault="00626592" w:rsidP="0063032F">
      <w:pPr>
        <w:pStyle w:val="Paragraphedeliste"/>
        <w:numPr>
          <w:ilvl w:val="2"/>
          <w:numId w:val="19"/>
        </w:numPr>
        <w:jc w:val="both"/>
      </w:pPr>
      <w:r w:rsidRPr="00AB6090">
        <w:t xml:space="preserve">Rapport de contrôle de l'étanchéité de conformité de l'installation gaz (si présente) par un service externe de contrôle technique ; </w:t>
      </w:r>
    </w:p>
    <w:p w14:paraId="0CDA0898" w14:textId="77777777" w:rsidR="00626592" w:rsidRPr="00AB6090" w:rsidRDefault="00626592" w:rsidP="0063032F">
      <w:pPr>
        <w:pStyle w:val="Paragraphedeliste"/>
        <w:numPr>
          <w:ilvl w:val="2"/>
          <w:numId w:val="19"/>
        </w:numPr>
        <w:jc w:val="both"/>
      </w:pPr>
      <w:r w:rsidRPr="00AB6090">
        <w:t xml:space="preserve">Rapport de contrôle de tout matériel suspendu par un service externe de contrôle technique ; </w:t>
      </w:r>
    </w:p>
    <w:p w14:paraId="238865EB" w14:textId="77777777" w:rsidR="00626592" w:rsidRPr="00AB6090" w:rsidRDefault="00626592" w:rsidP="0063032F">
      <w:pPr>
        <w:pStyle w:val="Paragraphedeliste"/>
        <w:numPr>
          <w:ilvl w:val="2"/>
          <w:numId w:val="19"/>
        </w:numPr>
        <w:jc w:val="both"/>
      </w:pPr>
      <w:r w:rsidRPr="00AB6090">
        <w:t xml:space="preserve">Attestation prouvant la classe de réaction au feu de la toile du chapiteau ; </w:t>
      </w:r>
    </w:p>
    <w:p w14:paraId="42BAB2C6" w14:textId="77777777" w:rsidR="00626592" w:rsidRPr="00AB6090" w:rsidRDefault="00626592" w:rsidP="0063032F">
      <w:pPr>
        <w:pStyle w:val="Paragraphedeliste"/>
        <w:numPr>
          <w:ilvl w:val="2"/>
          <w:numId w:val="19"/>
        </w:numPr>
        <w:jc w:val="both"/>
      </w:pPr>
      <w:r w:rsidRPr="00AB6090">
        <w:t xml:space="preserve">Attestation de tenue au vent du chapiteau comportant l'indication de la vitesse maximale de vent à laquelle le chapiteau peut résister ; </w:t>
      </w:r>
    </w:p>
    <w:p w14:paraId="0F693DEF" w14:textId="77777777" w:rsidR="00626592" w:rsidRPr="00AB6090" w:rsidRDefault="00626592" w:rsidP="0063032F">
      <w:pPr>
        <w:pStyle w:val="Paragraphedeliste"/>
        <w:numPr>
          <w:ilvl w:val="2"/>
          <w:numId w:val="19"/>
        </w:numPr>
        <w:jc w:val="both"/>
      </w:pPr>
      <w:r w:rsidRPr="00AB6090">
        <w:t xml:space="preserve">Attestation prouvant la stabilité, l'amarrage et la qualité de montage du chapiteau, établie par un organisme spécialisé en stabilité ou un ingénieur en stabilité ; </w:t>
      </w:r>
    </w:p>
    <w:p w14:paraId="5379B1CB" w14:textId="77777777" w:rsidR="00626592" w:rsidRPr="00AB6090" w:rsidRDefault="00626592" w:rsidP="0063032F">
      <w:pPr>
        <w:pStyle w:val="Paragraphedeliste"/>
        <w:numPr>
          <w:ilvl w:val="2"/>
          <w:numId w:val="19"/>
        </w:numPr>
        <w:jc w:val="both"/>
      </w:pPr>
      <w:r w:rsidRPr="00AB6090">
        <w:t>Attestation prouvant la stabilité et la qualité de montage des tribunes et gradins éventuels, établie par un organisme spécialisé en stabilité ou un ingénieur en stabilité.</w:t>
      </w:r>
    </w:p>
    <w:p w14:paraId="193D4124" w14:textId="77777777" w:rsidR="00140063" w:rsidRPr="00AB6090" w:rsidRDefault="00140063" w:rsidP="0063032F">
      <w:pPr>
        <w:jc w:val="both"/>
      </w:pPr>
    </w:p>
    <w:p w14:paraId="5B4348C5" w14:textId="77777777" w:rsidR="00BE2DD3" w:rsidRPr="00AB6090" w:rsidRDefault="00BE2DD3" w:rsidP="0063032F">
      <w:pPr>
        <w:pStyle w:val="Style2"/>
        <w:numPr>
          <w:ilvl w:val="1"/>
          <w:numId w:val="16"/>
        </w:numPr>
        <w:jc w:val="both"/>
        <w:outlineLvl w:val="1"/>
      </w:pPr>
      <w:bookmarkStart w:id="72" w:name="_Toc55899669"/>
      <w:bookmarkStart w:id="73" w:name="_Toc55900413"/>
      <w:bookmarkStart w:id="74" w:name="_Toc56426916"/>
      <w:r w:rsidRPr="00AB6090">
        <w:t xml:space="preserve">Festivité sur la voie publique : brocante, marchés, </w:t>
      </w:r>
      <w:r w:rsidRPr="00AB6090">
        <w:rPr>
          <w:rFonts w:ascii="Times New Roman" w:hAnsi="Times New Roman" w:cs="Times New Roman"/>
        </w:rPr>
        <w:t>…</w:t>
      </w:r>
      <w:bookmarkEnd w:id="72"/>
      <w:bookmarkEnd w:id="73"/>
      <w:bookmarkEnd w:id="74"/>
    </w:p>
    <w:p w14:paraId="3F4B9258" w14:textId="77777777" w:rsidR="00BE2DD3" w:rsidRPr="00AB6090" w:rsidRDefault="00BE2DD3" w:rsidP="0063032F">
      <w:pPr>
        <w:jc w:val="both"/>
      </w:pPr>
      <w:r w:rsidRPr="00AB6090">
        <w:t>Les prescriptions minimales de sécurité précisées au §4.3.1 sont d’application.</w:t>
      </w:r>
    </w:p>
    <w:p w14:paraId="3DDA0991" w14:textId="2631AE2F" w:rsidR="00BE2DD3" w:rsidRPr="00AB6090" w:rsidRDefault="00BE2DD3" w:rsidP="0063032F">
      <w:pPr>
        <w:jc w:val="both"/>
      </w:pPr>
      <w:r w:rsidRPr="00AB6090">
        <w:t xml:space="preserve">La commune doit non seulement les communiquer à l’organisateur mais également analyser le dossier de demande de celui-ci, notamment les plans de la manifestation, et s’assurer que les prescriptions sont rencontrées.   </w:t>
      </w:r>
    </w:p>
    <w:p w14:paraId="5933867A" w14:textId="5EF3549F" w:rsidR="00BE2DD3" w:rsidRPr="00AB6090" w:rsidRDefault="00BE2DD3" w:rsidP="0063032F">
      <w:pPr>
        <w:jc w:val="both"/>
      </w:pPr>
      <w:r w:rsidRPr="00AB6090">
        <w:t xml:space="preserve"> En cas d’impossibilité de rencontrer ces prescriptions, il y a lieu de chercher des solutions alternatives (par exemple : si l’entrée principale d’un site à risque est bloquée par la manifestation, il faut s’assurer qu’il existe une entrée par une autre voie pour que les véhicules de secours puissent arriver sur le site à risque). </w:t>
      </w:r>
    </w:p>
    <w:p w14:paraId="28BAD8B4" w14:textId="77777777" w:rsidR="00BE2DD3" w:rsidRPr="00AB6090" w:rsidRDefault="00BE2DD3" w:rsidP="0063032F">
      <w:pPr>
        <w:jc w:val="both"/>
      </w:pPr>
      <w:r w:rsidRPr="00AB6090">
        <w:t>Si aucune solution ne peut être trouvée pour respecter les prescriptions minimales, l’avis de la zone de secours sera négatif.  En cas de doute, un contact sera pris avec le service event de la zone de secours.</w:t>
      </w:r>
    </w:p>
    <w:p w14:paraId="64B57BE2" w14:textId="77777777" w:rsidR="00B87BA3" w:rsidRPr="00B87BA3" w:rsidRDefault="00B87BA3" w:rsidP="0063032F">
      <w:pPr>
        <w:jc w:val="both"/>
        <w:rPr>
          <w:b/>
          <w:bCs/>
          <w:sz w:val="30"/>
          <w:szCs w:val="30"/>
          <w:u w:val="single"/>
        </w:rPr>
      </w:pPr>
      <w:r w:rsidRPr="00B87BA3">
        <w:rPr>
          <w:b/>
          <w:bCs/>
          <w:sz w:val="30"/>
          <w:szCs w:val="30"/>
          <w:u w:val="single"/>
        </w:rPr>
        <w:lastRenderedPageBreak/>
        <w:t xml:space="preserve">Au minimum, les prescriptions suivantes seront respectées : </w:t>
      </w:r>
    </w:p>
    <w:p w14:paraId="73226999" w14:textId="77777777" w:rsidR="00BE2DD3" w:rsidRPr="00AB6090" w:rsidRDefault="00BE2DD3" w:rsidP="0063032F">
      <w:pPr>
        <w:pStyle w:val="Paragraphedeliste"/>
        <w:numPr>
          <w:ilvl w:val="0"/>
          <w:numId w:val="20"/>
        </w:numPr>
        <w:jc w:val="both"/>
      </w:pPr>
      <w:r w:rsidRPr="00AB6090">
        <w:t xml:space="preserve">Malgré la présence d'une festivité, les véhicules de secours doivent toujours pouvoir arriver jusqu'aux riverains.  Parmi les riverains, il faut veiller aux habitations particulières, mais également à garantir l’accès aux sites particuliers ou à risque (hôpitaux, maisons de repos, écoles, crèches, industries, etc.). </w:t>
      </w:r>
    </w:p>
    <w:p w14:paraId="0A3A0B85" w14:textId="77777777" w:rsidR="00BE2DD3" w:rsidRPr="00AB6090" w:rsidRDefault="00BE2DD3" w:rsidP="0063032F">
      <w:pPr>
        <w:pStyle w:val="Paragraphedeliste"/>
        <w:numPr>
          <w:ilvl w:val="0"/>
          <w:numId w:val="20"/>
        </w:numPr>
        <w:jc w:val="both"/>
      </w:pPr>
      <w:r w:rsidRPr="00AB6090">
        <w:t xml:space="preserve">Les véhicules de secours doivent aussi pouvoir atteindre les participants à la festivité. </w:t>
      </w:r>
    </w:p>
    <w:p w14:paraId="6FD8A762" w14:textId="77777777" w:rsidR="00BE2DD3" w:rsidRPr="00AB6090" w:rsidRDefault="00BE2DD3" w:rsidP="0063032F">
      <w:pPr>
        <w:pStyle w:val="Paragraphedeliste"/>
        <w:numPr>
          <w:ilvl w:val="0"/>
          <w:numId w:val="20"/>
        </w:numPr>
        <w:jc w:val="both"/>
      </w:pPr>
      <w:r w:rsidRPr="00AB6090">
        <w:t xml:space="preserve">Les véhicules de pompiers et ambulances doivent disposer d'un passage libre d'une largeur de 4 m et d'une hauteur de 4 m.   Les rayons de braquage sont les suivants : 11 m intérieur, 15 m extérieur.  Il ne faut pas oublier de prendre en compte la présence éventuelle d’auvents ouverts pour déterminer la largeur de passage disponible.  </w:t>
      </w:r>
    </w:p>
    <w:p w14:paraId="659A5209" w14:textId="77777777" w:rsidR="00BE2DD3" w:rsidRPr="00AB6090" w:rsidRDefault="00BE2DD3" w:rsidP="0063032F">
      <w:pPr>
        <w:pStyle w:val="Paragraphedeliste"/>
        <w:numPr>
          <w:ilvl w:val="0"/>
          <w:numId w:val="20"/>
        </w:numPr>
        <w:jc w:val="both"/>
      </w:pPr>
      <w:r w:rsidRPr="00AB6090">
        <w:t xml:space="preserve">Les bouches incendie doivent rester accessibles. </w:t>
      </w:r>
    </w:p>
    <w:p w14:paraId="6C4A11C9" w14:textId="77777777" w:rsidR="00BE2DD3" w:rsidRPr="00AB6090" w:rsidRDefault="00BE2DD3" w:rsidP="0063032F">
      <w:pPr>
        <w:pStyle w:val="Paragraphedeliste"/>
        <w:numPr>
          <w:ilvl w:val="0"/>
          <w:numId w:val="20"/>
        </w:numPr>
        <w:jc w:val="both"/>
      </w:pPr>
      <w:r w:rsidRPr="00AB6090">
        <w:t xml:space="preserve">Il faut veiller en particulier à la disposition de toutes les infrastructures (chapiteaux, jeux pour enfants, podiums, échoppes, etc.) afin de garantir le libre passage des services de secours.   </w:t>
      </w:r>
    </w:p>
    <w:p w14:paraId="70994926" w14:textId="77777777" w:rsidR="00BE2DD3" w:rsidRPr="00AB6090" w:rsidRDefault="00BE2DD3" w:rsidP="0063032F">
      <w:pPr>
        <w:pStyle w:val="Paragraphedeliste"/>
        <w:numPr>
          <w:ilvl w:val="0"/>
          <w:numId w:val="20"/>
        </w:numPr>
        <w:jc w:val="both"/>
      </w:pPr>
      <w:r w:rsidRPr="00AB6090">
        <w:t xml:space="preserve">Pour une rangée d’installations provisoires (ex : tentes, tonnelles, caravanes, chalets, manèges, etc.), l’une à la suite de l’autre, au moins un passage d’une largeur de 1.20 m, libre de tout objet, doit être réservé tous les 20 m.  </w:t>
      </w:r>
    </w:p>
    <w:p w14:paraId="43981DD5" w14:textId="77777777" w:rsidR="005760C5" w:rsidRPr="00AB6090" w:rsidRDefault="00BE2DD3" w:rsidP="0063032F">
      <w:pPr>
        <w:pStyle w:val="Paragraphedeliste"/>
        <w:numPr>
          <w:ilvl w:val="0"/>
          <w:numId w:val="20"/>
        </w:numPr>
        <w:jc w:val="both"/>
      </w:pPr>
      <w:r w:rsidRPr="00AB6090">
        <w:t>Cette réflexion pour le passage des secours doit également être menée pour des festivités sur terrain privé (ex : implantation d'un chapiteau dans une cour, …).</w:t>
      </w:r>
    </w:p>
    <w:p w14:paraId="3DBD44ED" w14:textId="77777777" w:rsidR="005760C5" w:rsidRPr="00AB6090" w:rsidRDefault="005760C5" w:rsidP="0063032F">
      <w:pPr>
        <w:jc w:val="both"/>
      </w:pPr>
    </w:p>
    <w:p w14:paraId="210A1C0E" w14:textId="77777777" w:rsidR="006C1512" w:rsidRPr="00AB6090" w:rsidRDefault="006C1512" w:rsidP="0063032F">
      <w:pPr>
        <w:pStyle w:val="Style2"/>
        <w:numPr>
          <w:ilvl w:val="1"/>
          <w:numId w:val="16"/>
        </w:numPr>
        <w:jc w:val="both"/>
        <w:outlineLvl w:val="1"/>
      </w:pPr>
      <w:bookmarkStart w:id="75" w:name="_Toc55899670"/>
      <w:bookmarkStart w:id="76" w:name="_Toc55900414"/>
      <w:bookmarkStart w:id="77" w:name="_Toc56426917"/>
      <w:r w:rsidRPr="00AB6090">
        <w:t>Activités à l</w:t>
      </w:r>
      <w:r w:rsidRPr="00AB6090">
        <w:rPr>
          <w:rFonts w:ascii="Times New Roman" w:hAnsi="Times New Roman" w:cs="Times New Roman"/>
        </w:rPr>
        <w:t>’</w:t>
      </w:r>
      <w:r w:rsidRPr="00AB6090">
        <w:t>ext</w:t>
      </w:r>
      <w:r w:rsidRPr="00AB6090">
        <w:rPr>
          <w:rFonts w:eastAsia="PMingLiU-ExtB" w:cs="PMingLiU-ExtB" w:hint="eastAsia"/>
        </w:rPr>
        <w:t>é</w:t>
      </w:r>
      <w:r w:rsidRPr="00AB6090">
        <w:t>rieur</w:t>
      </w:r>
      <w:bookmarkEnd w:id="75"/>
      <w:bookmarkEnd w:id="76"/>
      <w:bookmarkEnd w:id="77"/>
    </w:p>
    <w:p w14:paraId="1BE30467" w14:textId="77777777" w:rsidR="006C1512" w:rsidRPr="00AB6090" w:rsidRDefault="006C1512" w:rsidP="0063032F">
      <w:pPr>
        <w:jc w:val="both"/>
      </w:pPr>
      <w:r w:rsidRPr="00AB6090">
        <w:t xml:space="preserve">A priori, </w:t>
      </w:r>
      <w:r w:rsidRPr="00AB6090">
        <w:rPr>
          <w:u w:val="single"/>
        </w:rPr>
        <w:t>l’avis de la zone de secours n’est pas requis</w:t>
      </w:r>
      <w:r w:rsidRPr="00AB6090">
        <w:t xml:space="preserve"> pour autant que l’autorisation délivrée par le Bourgmestre ait tenu compte de l’analyse de risque de l’événement.  L’organisateur aura ainsi montré quelles mesures il a prévu et l’autorité aura pu vérifier que celles-ci sont suffisantes par rapport aux risques amenés par la manifestation. </w:t>
      </w:r>
    </w:p>
    <w:p w14:paraId="6F2CA98C" w14:textId="77777777" w:rsidR="006C1512" w:rsidRPr="00AB6090" w:rsidRDefault="006C1512" w:rsidP="0063032F">
      <w:pPr>
        <w:jc w:val="both"/>
      </w:pPr>
      <w:r w:rsidRPr="00AB6090">
        <w:t xml:space="preserve"> Les éléments qui doivent être pris en compte pour les activités à l’extérieur sont au minimum les suivants : (liste non exhaustive) </w:t>
      </w:r>
    </w:p>
    <w:p w14:paraId="1F7160AA" w14:textId="77777777" w:rsidR="005760C5" w:rsidRPr="00AB6090" w:rsidRDefault="006C1512" w:rsidP="0063032F">
      <w:pPr>
        <w:pStyle w:val="Paragraphedeliste"/>
        <w:numPr>
          <w:ilvl w:val="0"/>
          <w:numId w:val="21"/>
        </w:numPr>
        <w:jc w:val="both"/>
      </w:pPr>
      <w:r w:rsidRPr="00AB6090">
        <w:t>Il y a lieu de veiller au choix du site et aux risques situés aux environs immédiats ;</w:t>
      </w:r>
    </w:p>
    <w:p w14:paraId="5B961686" w14:textId="77777777" w:rsidR="006C1512" w:rsidRPr="00AB6090" w:rsidRDefault="006C1512" w:rsidP="0063032F">
      <w:pPr>
        <w:pStyle w:val="Paragraphedeliste"/>
        <w:numPr>
          <w:ilvl w:val="0"/>
          <w:numId w:val="21"/>
        </w:numPr>
        <w:jc w:val="both"/>
      </w:pPr>
      <w:r w:rsidRPr="00AB6090">
        <w:t xml:space="preserve">Présence proche d'un plan d'eau ou d'une rivière où des gens pourraient tomber ; </w:t>
      </w:r>
    </w:p>
    <w:p w14:paraId="27EAF86F" w14:textId="77777777" w:rsidR="006C1512" w:rsidRPr="00AB6090" w:rsidRDefault="006C1512" w:rsidP="0063032F">
      <w:pPr>
        <w:pStyle w:val="Paragraphedeliste"/>
        <w:numPr>
          <w:ilvl w:val="0"/>
          <w:numId w:val="21"/>
        </w:numPr>
        <w:jc w:val="both"/>
      </w:pPr>
      <w:r w:rsidRPr="00AB6090">
        <w:t xml:space="preserve">Présence d'une différence de niveau ou d'un relief de terrain (risque de chute), par exemple : talus, pont, … ; </w:t>
      </w:r>
    </w:p>
    <w:p w14:paraId="7C49876C" w14:textId="77777777" w:rsidR="006C1512" w:rsidRPr="00AB6090" w:rsidRDefault="006C1512" w:rsidP="0063032F">
      <w:pPr>
        <w:pStyle w:val="Paragraphedeliste"/>
        <w:numPr>
          <w:ilvl w:val="0"/>
          <w:numId w:val="21"/>
        </w:numPr>
        <w:jc w:val="both"/>
      </w:pPr>
      <w:r w:rsidRPr="00AB6090">
        <w:t xml:space="preserve">Présence de mobilier urbain sur lequel le public pourrait grimper et se blesser s'il en tombe (poteaux d'éclairage ou de signalisation, murets, …) ; </w:t>
      </w:r>
    </w:p>
    <w:p w14:paraId="2BDD36EB" w14:textId="77777777" w:rsidR="006C1512" w:rsidRPr="00AB6090" w:rsidRDefault="006C1512" w:rsidP="0063032F">
      <w:pPr>
        <w:pStyle w:val="Paragraphedeliste"/>
        <w:numPr>
          <w:ilvl w:val="0"/>
          <w:numId w:val="21"/>
        </w:numPr>
        <w:jc w:val="both"/>
      </w:pPr>
      <w:r w:rsidRPr="00AB6090">
        <w:t xml:space="preserve">Travaux en cours occasionnant des trous, des différences de niveau dans le sol (risque de chute) ou laissant du matériel ou des gravats disponibles pour servir d'arme en cas de bagarre ; ou encore présence d'échafaudages où le public pourrait grimper ; </w:t>
      </w:r>
    </w:p>
    <w:p w14:paraId="60909270" w14:textId="77777777" w:rsidR="006C1512" w:rsidRPr="00AB6090" w:rsidRDefault="006C1512" w:rsidP="0063032F">
      <w:pPr>
        <w:pStyle w:val="Paragraphedeliste"/>
        <w:numPr>
          <w:ilvl w:val="0"/>
          <w:numId w:val="21"/>
        </w:numPr>
        <w:jc w:val="both"/>
      </w:pPr>
      <w:r w:rsidRPr="00AB6090">
        <w:t xml:space="preserve">Présence de bâtiments instables, évaluation d'un risque d'effondrement sur le public ou sur une voie d'accès (certaines villes ont déjà dû prendre des mesures par rapport à un bâtiment ancien dont on craignait l'effondrement du clocher avec les fortes vibrations amenées par la sono) ; </w:t>
      </w:r>
    </w:p>
    <w:p w14:paraId="254EADF4" w14:textId="77777777" w:rsidR="006C1512" w:rsidRPr="00AB6090" w:rsidRDefault="006C1512" w:rsidP="0063032F">
      <w:pPr>
        <w:pStyle w:val="Paragraphedeliste"/>
        <w:numPr>
          <w:ilvl w:val="0"/>
          <w:numId w:val="21"/>
        </w:numPr>
        <w:jc w:val="both"/>
      </w:pPr>
      <w:r w:rsidRPr="00AB6090">
        <w:t xml:space="preserve">Présence de bâtiments sensibles à proximité, susceptibles de mériter une intervention des services de secours (maison de repos, crèche, école, usine, …) ; </w:t>
      </w:r>
    </w:p>
    <w:p w14:paraId="56742642" w14:textId="77777777" w:rsidR="006C1512" w:rsidRPr="00AB6090" w:rsidRDefault="006C1512" w:rsidP="0063032F">
      <w:pPr>
        <w:pStyle w:val="Paragraphedeliste"/>
        <w:numPr>
          <w:ilvl w:val="0"/>
          <w:numId w:val="21"/>
        </w:numPr>
        <w:jc w:val="both"/>
      </w:pPr>
      <w:r w:rsidRPr="00AB6090">
        <w:t xml:space="preserve">Autres risques à identifier selon le terrain choisi et ses environs. </w:t>
      </w:r>
    </w:p>
    <w:p w14:paraId="40EC89CB" w14:textId="77777777" w:rsidR="006C1512" w:rsidRPr="00AB6090" w:rsidRDefault="006C1512" w:rsidP="0063032F">
      <w:pPr>
        <w:jc w:val="both"/>
      </w:pPr>
      <w:r w:rsidRPr="00AB6090">
        <w:t>Le site proposé devra être au maximum exempt des risques mentionnés ci-dessus, ou à défaut des mesures adéquates devront être mises en place pour prévenir et/ou gérer ces risques.</w:t>
      </w:r>
    </w:p>
    <w:p w14:paraId="4D6F0617" w14:textId="69EDCF76" w:rsidR="006C1512" w:rsidRPr="00AB6090" w:rsidRDefault="006C1512" w:rsidP="0063032F">
      <w:pPr>
        <w:jc w:val="both"/>
      </w:pPr>
      <w:r w:rsidRPr="00AB6090">
        <w:rPr>
          <w:b/>
        </w:rPr>
        <w:t>Les prescriptions qui seront communiquées à l’organisateur</w:t>
      </w:r>
      <w:r w:rsidRPr="00AB6090">
        <w:t>, seront adaptées à l’analyse des risques, en tenant compte notamment mais pas exclusive</w:t>
      </w:r>
      <w:r w:rsidR="00613D81">
        <w:t>ment des risques présentés au §5</w:t>
      </w:r>
      <w:r w:rsidRPr="00AB6090">
        <w:t>.4.</w:t>
      </w:r>
    </w:p>
    <w:p w14:paraId="374975ED" w14:textId="77777777" w:rsidR="006C1512" w:rsidRPr="00AB6090" w:rsidRDefault="006C1512" w:rsidP="0063032F">
      <w:pPr>
        <w:pStyle w:val="Style2"/>
        <w:numPr>
          <w:ilvl w:val="1"/>
          <w:numId w:val="16"/>
        </w:numPr>
        <w:jc w:val="both"/>
        <w:outlineLvl w:val="1"/>
      </w:pPr>
      <w:bookmarkStart w:id="78" w:name="_Toc55899671"/>
      <w:bookmarkStart w:id="79" w:name="_Toc55900415"/>
      <w:bookmarkStart w:id="80" w:name="_Toc56426918"/>
      <w:r w:rsidRPr="00AB6090">
        <w:t>Festivité concernant un site très étendu</w:t>
      </w:r>
      <w:bookmarkEnd w:id="78"/>
      <w:bookmarkEnd w:id="79"/>
      <w:bookmarkEnd w:id="80"/>
    </w:p>
    <w:p w14:paraId="183DC936" w14:textId="77777777" w:rsidR="006C1512" w:rsidRPr="00AB6090" w:rsidRDefault="006C1512" w:rsidP="0063032F">
      <w:pPr>
        <w:jc w:val="both"/>
      </w:pPr>
      <w:r w:rsidRPr="00AB6090">
        <w:t>La règle générale prévue au §3.2 reste d’application : l’avis de la zone de secours doit être demandé quand la festivité a un impact important sur la mobilité des services de secours ou limitant l’accès des secours à certains bâtiments ;</w:t>
      </w:r>
    </w:p>
    <w:p w14:paraId="155CD45E" w14:textId="77777777" w:rsidR="006C1512" w:rsidRPr="00AB6090" w:rsidRDefault="006C1512" w:rsidP="0063032F">
      <w:pPr>
        <w:jc w:val="both"/>
      </w:pPr>
      <w:r w:rsidRPr="00AB6090">
        <w:t xml:space="preserve">En particulier, il faudra demander l’avis de la zone de secours si la festivité provoque l’isolement d’un quartier ou d’une partie de la commune (par exemple, si le tracé d’une course cycliste importante ou d’un rallye empêche les services de secours d’atteindre une partie de la population, car il leur est interdit de traverser le circuit). </w:t>
      </w:r>
    </w:p>
    <w:p w14:paraId="254BD305" w14:textId="77777777" w:rsidR="006C1512" w:rsidRDefault="006C1512" w:rsidP="0063032F">
      <w:pPr>
        <w:jc w:val="both"/>
      </w:pPr>
      <w:r w:rsidRPr="00AB6090">
        <w:rPr>
          <w:b/>
        </w:rPr>
        <w:t>Les prescriptions qui seront communiquées à l’organisateur</w:t>
      </w:r>
      <w:r w:rsidRPr="00AB6090">
        <w:t>, seront adaptées à l’analyse des risques, notamment en tenant compte de l’impact sur la mobilité et la circulation des services de secours dans et autour du quartier concerné.</w:t>
      </w:r>
    </w:p>
    <w:p w14:paraId="68EB3B7C" w14:textId="009B4CF0" w:rsidR="00AB6090" w:rsidRDefault="00AB6090" w:rsidP="0063032F">
      <w:pPr>
        <w:jc w:val="both"/>
      </w:pPr>
    </w:p>
    <w:p w14:paraId="60E33DBF" w14:textId="08C4A8D3" w:rsidR="00F64AAD" w:rsidRDefault="00F64AAD" w:rsidP="0063032F">
      <w:pPr>
        <w:jc w:val="both"/>
      </w:pPr>
    </w:p>
    <w:p w14:paraId="7B8D5CD2" w14:textId="77777777" w:rsidR="00F64AAD" w:rsidRPr="00AB6090" w:rsidRDefault="00F64AAD" w:rsidP="0063032F">
      <w:pPr>
        <w:jc w:val="both"/>
      </w:pPr>
    </w:p>
    <w:p w14:paraId="2355E7A1" w14:textId="1C38913D" w:rsidR="00BC31EE" w:rsidRPr="00443FB0" w:rsidRDefault="00BC31EE" w:rsidP="0063032F">
      <w:pPr>
        <w:pStyle w:val="Titre"/>
        <w:numPr>
          <w:ilvl w:val="0"/>
          <w:numId w:val="72"/>
        </w:numPr>
        <w:pBdr>
          <w:top w:val="single" w:sz="4" w:space="1" w:color="auto"/>
          <w:left w:val="single" w:sz="4" w:space="4" w:color="auto"/>
          <w:bottom w:val="single" w:sz="4" w:space="1" w:color="auto"/>
          <w:right w:val="single" w:sz="4" w:space="4" w:color="auto"/>
        </w:pBdr>
        <w:jc w:val="both"/>
        <w:outlineLvl w:val="0"/>
      </w:pPr>
      <w:bookmarkStart w:id="81" w:name="_Toc56426919"/>
      <w:r w:rsidRPr="00443FB0">
        <w:lastRenderedPageBreak/>
        <w:t>Prescriptions relatives aux activités organisées</w:t>
      </w:r>
      <w:bookmarkEnd w:id="81"/>
    </w:p>
    <w:p w14:paraId="31A3CE53" w14:textId="77777777" w:rsidR="006C1512" w:rsidRPr="00AB6090" w:rsidRDefault="006C1512" w:rsidP="0063032F">
      <w:pPr>
        <w:pStyle w:val="Style2"/>
        <w:numPr>
          <w:ilvl w:val="0"/>
          <w:numId w:val="0"/>
        </w:numPr>
        <w:ind w:left="1080"/>
        <w:jc w:val="both"/>
      </w:pPr>
    </w:p>
    <w:p w14:paraId="4F0DA365" w14:textId="0A991F28" w:rsidR="006C1512" w:rsidRPr="00443FB0" w:rsidRDefault="00BC31EE" w:rsidP="0063032F">
      <w:pPr>
        <w:pBdr>
          <w:top w:val="single" w:sz="4" w:space="1" w:color="auto"/>
          <w:left w:val="single" w:sz="4" w:space="4" w:color="auto"/>
          <w:bottom w:val="single" w:sz="4" w:space="1" w:color="auto"/>
          <w:right w:val="single" w:sz="4" w:space="4" w:color="auto"/>
        </w:pBdr>
        <w:jc w:val="both"/>
        <w:rPr>
          <w:b/>
          <w:sz w:val="22"/>
        </w:rPr>
      </w:pPr>
      <w:r w:rsidRPr="00AB6090">
        <w:rPr>
          <w:b/>
          <w:sz w:val="22"/>
        </w:rPr>
        <w:t xml:space="preserve">Quant faut ‘il demander un avis </w:t>
      </w:r>
      <w:r w:rsidRPr="00AB6090">
        <w:rPr>
          <w:b/>
          <w:sz w:val="24"/>
        </w:rPr>
        <w:t>préalable</w:t>
      </w:r>
      <w:r w:rsidRPr="00AB6090">
        <w:rPr>
          <w:b/>
          <w:sz w:val="22"/>
        </w:rPr>
        <w:t xml:space="preserve"> à la zone de secours ?</w:t>
      </w:r>
    </w:p>
    <w:p w14:paraId="59422824" w14:textId="77777777" w:rsidR="006C1512" w:rsidRPr="00AB6090" w:rsidRDefault="00BC31EE" w:rsidP="0063032F">
      <w:pPr>
        <w:pStyle w:val="Style2"/>
        <w:numPr>
          <w:ilvl w:val="1"/>
          <w:numId w:val="75"/>
        </w:numPr>
        <w:jc w:val="both"/>
        <w:outlineLvl w:val="1"/>
      </w:pPr>
      <w:bookmarkStart w:id="82" w:name="_Toc55899672"/>
      <w:bookmarkStart w:id="83" w:name="_Toc55900416"/>
      <w:bookmarkStart w:id="84" w:name="_Toc56426920"/>
      <w:r w:rsidRPr="00AB6090">
        <w:t xml:space="preserve">Lâcher de lanternes </w:t>
      </w:r>
      <w:r w:rsidRPr="00CE292C">
        <w:t>célestes</w:t>
      </w:r>
      <w:bookmarkEnd w:id="82"/>
      <w:bookmarkEnd w:id="83"/>
      <w:bookmarkEnd w:id="84"/>
    </w:p>
    <w:tbl>
      <w:tblPr>
        <w:tblStyle w:val="Grilledutableau"/>
        <w:tblW w:w="0" w:type="auto"/>
        <w:tblLook w:val="04A0" w:firstRow="1" w:lastRow="0" w:firstColumn="1" w:lastColumn="0" w:noHBand="0" w:noVBand="1"/>
      </w:tblPr>
      <w:tblGrid>
        <w:gridCol w:w="3485"/>
        <w:gridCol w:w="3485"/>
        <w:gridCol w:w="3486"/>
      </w:tblGrid>
      <w:tr w:rsidR="00BC31EE" w:rsidRPr="00AB6090" w14:paraId="279C38A5" w14:textId="77777777" w:rsidTr="00BC31EE">
        <w:tc>
          <w:tcPr>
            <w:tcW w:w="3485" w:type="dxa"/>
            <w:shd w:val="clear" w:color="auto" w:fill="D9D9D9" w:themeFill="background1" w:themeFillShade="D9"/>
          </w:tcPr>
          <w:p w14:paraId="5A0ACDBC" w14:textId="77777777" w:rsidR="00BC31EE" w:rsidRPr="00AB6090" w:rsidRDefault="00BC31EE" w:rsidP="0063032F">
            <w:pPr>
              <w:jc w:val="both"/>
              <w:rPr>
                <w:b/>
              </w:rPr>
            </w:pPr>
            <w:r w:rsidRPr="00AB6090">
              <w:rPr>
                <w:b/>
              </w:rPr>
              <w:t>Questions</w:t>
            </w:r>
          </w:p>
        </w:tc>
        <w:tc>
          <w:tcPr>
            <w:tcW w:w="3485" w:type="dxa"/>
            <w:shd w:val="clear" w:color="auto" w:fill="D9D9D9" w:themeFill="background1" w:themeFillShade="D9"/>
          </w:tcPr>
          <w:p w14:paraId="6B838B46" w14:textId="77777777" w:rsidR="00BC31EE" w:rsidRPr="00AB6090" w:rsidRDefault="00BC31EE" w:rsidP="0063032F">
            <w:pPr>
              <w:jc w:val="both"/>
              <w:rPr>
                <w:b/>
              </w:rPr>
            </w:pPr>
            <w:r w:rsidRPr="00AB6090">
              <w:rPr>
                <w:b/>
              </w:rPr>
              <w:t>Si oui</w:t>
            </w:r>
          </w:p>
        </w:tc>
        <w:tc>
          <w:tcPr>
            <w:tcW w:w="3486" w:type="dxa"/>
            <w:shd w:val="clear" w:color="auto" w:fill="D9D9D9" w:themeFill="background1" w:themeFillShade="D9"/>
          </w:tcPr>
          <w:p w14:paraId="3082DE70" w14:textId="77777777" w:rsidR="00BC31EE" w:rsidRPr="00AB6090" w:rsidRDefault="00BC31EE" w:rsidP="0063032F">
            <w:pPr>
              <w:jc w:val="both"/>
              <w:rPr>
                <w:b/>
              </w:rPr>
            </w:pPr>
            <w:r w:rsidRPr="00AB6090">
              <w:rPr>
                <w:b/>
              </w:rPr>
              <w:t>Si non</w:t>
            </w:r>
          </w:p>
        </w:tc>
      </w:tr>
      <w:tr w:rsidR="00BC31EE" w:rsidRPr="00AB6090" w14:paraId="57477BAF" w14:textId="77777777" w:rsidTr="00BC31EE">
        <w:tc>
          <w:tcPr>
            <w:tcW w:w="3485" w:type="dxa"/>
          </w:tcPr>
          <w:p w14:paraId="2F35D022" w14:textId="77777777" w:rsidR="00BC31EE" w:rsidRPr="00AB6090" w:rsidRDefault="00BC31EE" w:rsidP="0063032F">
            <w:pPr>
              <w:jc w:val="both"/>
            </w:pPr>
            <w:r w:rsidRPr="00AB6090">
              <w:t>1. Le règlement de police communal prévoit-il une interdiction de lâcher des lanternes célestes ?</w:t>
            </w:r>
          </w:p>
        </w:tc>
        <w:tc>
          <w:tcPr>
            <w:tcW w:w="3485" w:type="dxa"/>
          </w:tcPr>
          <w:p w14:paraId="3E7E790D" w14:textId="77777777" w:rsidR="00BC31EE" w:rsidRPr="00AB6090" w:rsidRDefault="00BC31EE" w:rsidP="0063032F">
            <w:pPr>
              <w:widowControl w:val="0"/>
              <w:autoSpaceDE w:val="0"/>
              <w:autoSpaceDN w:val="0"/>
              <w:adjustRightInd w:val="0"/>
              <w:spacing w:line="259" w:lineRule="auto"/>
              <w:contextualSpacing/>
              <w:jc w:val="both"/>
            </w:pPr>
            <w:r w:rsidRPr="00AB6090">
              <w:t>Interdire le lâcher</w:t>
            </w:r>
          </w:p>
        </w:tc>
        <w:tc>
          <w:tcPr>
            <w:tcW w:w="3486" w:type="dxa"/>
          </w:tcPr>
          <w:p w14:paraId="14F6B341" w14:textId="77777777" w:rsidR="00BC31EE" w:rsidRPr="00AB6090" w:rsidRDefault="00BC31EE" w:rsidP="0063032F">
            <w:pPr>
              <w:widowControl w:val="0"/>
              <w:autoSpaceDE w:val="0"/>
              <w:autoSpaceDN w:val="0"/>
              <w:adjustRightInd w:val="0"/>
              <w:spacing w:line="259" w:lineRule="auto"/>
              <w:contextualSpacing/>
              <w:jc w:val="both"/>
            </w:pPr>
            <w:r w:rsidRPr="00AB6090">
              <w:t>Passer à l’étape suivante</w:t>
            </w:r>
          </w:p>
        </w:tc>
      </w:tr>
      <w:tr w:rsidR="00BC31EE" w:rsidRPr="00AB6090" w14:paraId="1789DC0F" w14:textId="77777777" w:rsidTr="00BC31EE">
        <w:tc>
          <w:tcPr>
            <w:tcW w:w="3485" w:type="dxa"/>
          </w:tcPr>
          <w:p w14:paraId="6C60D5D1" w14:textId="77777777" w:rsidR="00BC31EE" w:rsidRPr="00AB6090" w:rsidRDefault="00BC31EE" w:rsidP="0063032F">
            <w:pPr>
              <w:jc w:val="both"/>
            </w:pPr>
            <w:r w:rsidRPr="00AB6090">
              <w:t>2. Le lieu du lâcher de lanternes célestes se situe-t-il en zone 2 au sens de la circulaire GDF-12 du SPF Mobilité et Transport ? 2</w:t>
            </w:r>
          </w:p>
        </w:tc>
        <w:tc>
          <w:tcPr>
            <w:tcW w:w="3485" w:type="dxa"/>
          </w:tcPr>
          <w:p w14:paraId="59F7ACAF" w14:textId="77777777" w:rsidR="00BC31EE" w:rsidRPr="00AB6090" w:rsidRDefault="00BC31EE" w:rsidP="0063032F">
            <w:pPr>
              <w:widowControl w:val="0"/>
              <w:autoSpaceDE w:val="0"/>
              <w:autoSpaceDN w:val="0"/>
              <w:adjustRightInd w:val="0"/>
              <w:spacing w:line="259" w:lineRule="auto"/>
              <w:contextualSpacing/>
              <w:jc w:val="both"/>
            </w:pPr>
            <w:r w:rsidRPr="00AB6090">
              <w:t>Le lâcher est interdit en zone 2 en vertu des règles du SPF Mobilité et Transport.  Une demande d’autorisation peut toutefois être adressée au SPF si l’aéroport concerné est fermé durant le lâcher.</w:t>
            </w:r>
          </w:p>
        </w:tc>
        <w:tc>
          <w:tcPr>
            <w:tcW w:w="3486" w:type="dxa"/>
          </w:tcPr>
          <w:p w14:paraId="0DA895DC" w14:textId="77777777" w:rsidR="00BC31EE" w:rsidRPr="00AB6090" w:rsidRDefault="00BC31EE" w:rsidP="0063032F">
            <w:pPr>
              <w:widowControl w:val="0"/>
              <w:autoSpaceDE w:val="0"/>
              <w:autoSpaceDN w:val="0"/>
              <w:adjustRightInd w:val="0"/>
              <w:spacing w:line="259" w:lineRule="auto"/>
              <w:contextualSpacing/>
              <w:jc w:val="both"/>
            </w:pPr>
            <w:r w:rsidRPr="00AB6090">
              <w:t>Passer à l’étape suivante</w:t>
            </w:r>
          </w:p>
        </w:tc>
      </w:tr>
      <w:tr w:rsidR="00BC31EE" w:rsidRPr="00AB6090" w14:paraId="02210C18" w14:textId="77777777" w:rsidTr="00BC31EE">
        <w:tc>
          <w:tcPr>
            <w:tcW w:w="3485" w:type="dxa"/>
          </w:tcPr>
          <w:p w14:paraId="1ECBFBB3" w14:textId="77777777" w:rsidR="00BC31EE" w:rsidRPr="00AB6090" w:rsidRDefault="00BC31EE" w:rsidP="0063032F">
            <w:pPr>
              <w:jc w:val="both"/>
            </w:pPr>
            <w:r w:rsidRPr="00AB6090">
              <w:t>3. Le nombre de lanternes célestes est-il supérieur à 20</w:t>
            </w:r>
          </w:p>
        </w:tc>
        <w:tc>
          <w:tcPr>
            <w:tcW w:w="3485" w:type="dxa"/>
          </w:tcPr>
          <w:p w14:paraId="1283CA1D" w14:textId="77777777" w:rsidR="00BC31EE" w:rsidRPr="00AB6090" w:rsidRDefault="00BC31EE" w:rsidP="0063032F">
            <w:pPr>
              <w:widowControl w:val="0"/>
              <w:autoSpaceDE w:val="0"/>
              <w:autoSpaceDN w:val="0"/>
              <w:adjustRightInd w:val="0"/>
              <w:spacing w:line="259" w:lineRule="auto"/>
              <w:contextualSpacing/>
              <w:jc w:val="both"/>
            </w:pPr>
            <w:r w:rsidRPr="00AB6090">
              <w:t>Une autorisation préalable doit être demandée au SPF, DGTA (direction générale du transport aérien), et ce au plus tard 20 jours ouvrables avant l’activité.</w:t>
            </w:r>
          </w:p>
        </w:tc>
        <w:tc>
          <w:tcPr>
            <w:tcW w:w="3486" w:type="dxa"/>
          </w:tcPr>
          <w:p w14:paraId="64ED63F8" w14:textId="77777777" w:rsidR="00BC31EE" w:rsidRPr="00AB6090" w:rsidRDefault="00BC31EE" w:rsidP="0063032F">
            <w:pPr>
              <w:widowControl w:val="0"/>
              <w:autoSpaceDE w:val="0"/>
              <w:autoSpaceDN w:val="0"/>
              <w:adjustRightInd w:val="0"/>
              <w:spacing w:line="259" w:lineRule="auto"/>
              <w:contextualSpacing/>
              <w:jc w:val="both"/>
            </w:pPr>
            <w:r w:rsidRPr="00AB6090">
              <w:t>Passer à l’étape suivante</w:t>
            </w:r>
          </w:p>
        </w:tc>
      </w:tr>
      <w:tr w:rsidR="00BC31EE" w:rsidRPr="00AB6090" w14:paraId="50EA749D" w14:textId="77777777" w:rsidTr="00BC31EE">
        <w:tc>
          <w:tcPr>
            <w:tcW w:w="3485" w:type="dxa"/>
          </w:tcPr>
          <w:p w14:paraId="48D9B6E1" w14:textId="77777777" w:rsidR="00BC31EE" w:rsidRPr="00AB6090" w:rsidRDefault="00BC31EE" w:rsidP="0063032F">
            <w:pPr>
              <w:jc w:val="both"/>
            </w:pPr>
            <w:r w:rsidRPr="00AB6090">
              <w:t>4. Dans un rayon de 200 m autour du lieu du lâcher, il y a-t-il des bâtiments à risque particulier d’incendie ou d’explosion (selon la cartographie des risques de la commune et selon l’inventaire réalisé par l’organisateur)</w:t>
            </w:r>
          </w:p>
        </w:tc>
        <w:tc>
          <w:tcPr>
            <w:tcW w:w="3485" w:type="dxa"/>
          </w:tcPr>
          <w:p w14:paraId="6349BE7D" w14:textId="77777777" w:rsidR="00BC31EE" w:rsidRPr="00AB6090" w:rsidRDefault="00BC31EE" w:rsidP="0063032F">
            <w:pPr>
              <w:widowControl w:val="0"/>
              <w:autoSpaceDE w:val="0"/>
              <w:autoSpaceDN w:val="0"/>
              <w:adjustRightInd w:val="0"/>
              <w:spacing w:line="259" w:lineRule="auto"/>
              <w:contextualSpacing/>
              <w:jc w:val="both"/>
            </w:pPr>
            <w:r w:rsidRPr="00AB6090">
              <w:t>Interdire le lâcher</w:t>
            </w:r>
          </w:p>
        </w:tc>
        <w:tc>
          <w:tcPr>
            <w:tcW w:w="3486" w:type="dxa"/>
          </w:tcPr>
          <w:p w14:paraId="1F1DAFB5" w14:textId="77777777" w:rsidR="00BC31EE" w:rsidRPr="00AB6090" w:rsidRDefault="00BC31EE" w:rsidP="0063032F">
            <w:pPr>
              <w:widowControl w:val="0"/>
              <w:autoSpaceDE w:val="0"/>
              <w:autoSpaceDN w:val="0"/>
              <w:adjustRightInd w:val="0"/>
              <w:spacing w:line="259" w:lineRule="auto"/>
              <w:contextualSpacing/>
              <w:jc w:val="both"/>
            </w:pPr>
            <w:r w:rsidRPr="00AB6090">
              <w:t>Pas de nécessité de contacter la zone de secours pour un avis préalable.  Les prescriptions décrites au § 5.1.1 doivent être respectées.</w:t>
            </w:r>
          </w:p>
        </w:tc>
      </w:tr>
    </w:tbl>
    <w:p w14:paraId="4D889E46" w14:textId="77777777" w:rsidR="00BC31EE" w:rsidRPr="00AB6090" w:rsidRDefault="00BC31EE" w:rsidP="0063032F">
      <w:pPr>
        <w:jc w:val="both"/>
      </w:pPr>
      <w:r w:rsidRPr="00AB6090">
        <w:t>Pour plus d’informations, il y a lieu de consulter le site internet du SPF Mobilité et Transport.</w:t>
      </w:r>
    </w:p>
    <w:p w14:paraId="0D2CCB35" w14:textId="77777777" w:rsidR="00BC31EE" w:rsidRPr="00AB6090" w:rsidRDefault="00BC31EE" w:rsidP="0063032F">
      <w:pPr>
        <w:jc w:val="both"/>
      </w:pPr>
    </w:p>
    <w:p w14:paraId="38C8B985"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645508B6" w14:textId="77777777" w:rsidR="00BC31EE" w:rsidRPr="00AB6090" w:rsidRDefault="00BC31EE" w:rsidP="0063032F">
      <w:pPr>
        <w:pStyle w:val="Paragraphedeliste"/>
        <w:numPr>
          <w:ilvl w:val="0"/>
          <w:numId w:val="22"/>
        </w:numPr>
        <w:jc w:val="both"/>
      </w:pPr>
      <w:r w:rsidRPr="00AB6090">
        <w:t xml:space="preserve">Les lanternes doivent être fabriquées en papier ignifugé (non inflammable), répondant à la norme CE EN71 partie 2 (Norme relative à la sécurité des jouets – inflammabilité). </w:t>
      </w:r>
    </w:p>
    <w:p w14:paraId="2D3C1BAA" w14:textId="77777777" w:rsidR="00BC31EE" w:rsidRPr="00AB6090" w:rsidRDefault="00BC31EE" w:rsidP="0063032F">
      <w:pPr>
        <w:pStyle w:val="Paragraphedeliste"/>
        <w:numPr>
          <w:ilvl w:val="0"/>
          <w:numId w:val="22"/>
        </w:numPr>
        <w:jc w:val="both"/>
      </w:pPr>
      <w:r w:rsidRPr="00AB6090">
        <w:t xml:space="preserve">Le diamètre des lanternes célestes ne peut être supérieur à 75 cm ; </w:t>
      </w:r>
    </w:p>
    <w:p w14:paraId="75FE11A9" w14:textId="77777777" w:rsidR="00BC31EE" w:rsidRPr="00AB6090" w:rsidRDefault="00BC31EE" w:rsidP="0063032F">
      <w:pPr>
        <w:pStyle w:val="Paragraphedeliste"/>
        <w:numPr>
          <w:ilvl w:val="0"/>
          <w:numId w:val="22"/>
        </w:numPr>
        <w:jc w:val="both"/>
      </w:pPr>
      <w:r w:rsidRPr="00AB6090">
        <w:t xml:space="preserve">Les lanternes ne peuvent contenir d’éléments métalliques ; </w:t>
      </w:r>
    </w:p>
    <w:p w14:paraId="2EF8767C" w14:textId="77777777" w:rsidR="00BC31EE" w:rsidRPr="00AB6090" w:rsidRDefault="00BC31EE" w:rsidP="0063032F">
      <w:pPr>
        <w:pStyle w:val="Paragraphedeliste"/>
        <w:numPr>
          <w:ilvl w:val="0"/>
          <w:numId w:val="22"/>
        </w:numPr>
        <w:jc w:val="both"/>
      </w:pPr>
      <w:r w:rsidRPr="00AB6090">
        <w:t xml:space="preserve">L’enveloppe des lanternes ne peut présenter de trous ou déchirures ; </w:t>
      </w:r>
    </w:p>
    <w:p w14:paraId="0CE630B7" w14:textId="77777777" w:rsidR="00BC31EE" w:rsidRPr="00AB6090" w:rsidRDefault="00BC31EE" w:rsidP="0063032F">
      <w:pPr>
        <w:pStyle w:val="Paragraphedeliste"/>
        <w:numPr>
          <w:ilvl w:val="0"/>
          <w:numId w:val="22"/>
        </w:numPr>
        <w:jc w:val="both"/>
      </w:pPr>
      <w:r w:rsidRPr="00AB6090">
        <w:t xml:space="preserve">L’attache du brûleur ou de la mèche ne peut être endommagée ; </w:t>
      </w:r>
    </w:p>
    <w:p w14:paraId="75E7A2C3" w14:textId="77777777" w:rsidR="00BC31EE" w:rsidRPr="00AB6090" w:rsidRDefault="00BC31EE" w:rsidP="0063032F">
      <w:pPr>
        <w:pStyle w:val="Paragraphedeliste"/>
        <w:numPr>
          <w:ilvl w:val="0"/>
          <w:numId w:val="22"/>
        </w:numPr>
        <w:jc w:val="both"/>
      </w:pPr>
      <w:r w:rsidRPr="00AB6090">
        <w:t>Aucun objet autre que ceux prévus par le constructeur ou l’importateur ne peut être fixé à la lanterne.</w:t>
      </w:r>
    </w:p>
    <w:p w14:paraId="525BFB37" w14:textId="77777777" w:rsidR="00CD242B" w:rsidRPr="00AB6090" w:rsidRDefault="00BC31EE" w:rsidP="0063032F">
      <w:pPr>
        <w:pStyle w:val="Paragraphedeliste"/>
        <w:numPr>
          <w:ilvl w:val="0"/>
          <w:numId w:val="22"/>
        </w:numPr>
        <w:jc w:val="both"/>
      </w:pPr>
      <w:r w:rsidRPr="00AB6090">
        <w:t>Les lanternes célestes peuvent uni</w:t>
      </w:r>
      <w:r w:rsidR="00CD242B" w:rsidRPr="00AB6090">
        <w:t xml:space="preserve">quement être lâchées de nuit. </w:t>
      </w:r>
    </w:p>
    <w:p w14:paraId="2DC147DF" w14:textId="77777777" w:rsidR="00CD242B" w:rsidRPr="00AB6090" w:rsidRDefault="00BC31EE" w:rsidP="0063032F">
      <w:pPr>
        <w:pStyle w:val="Paragraphedeliste"/>
        <w:numPr>
          <w:ilvl w:val="0"/>
          <w:numId w:val="22"/>
        </w:numPr>
        <w:jc w:val="both"/>
      </w:pPr>
      <w:r w:rsidRPr="00AB6090">
        <w:t>Il est interdit de procéder à un lâcher de lanternes célestes si la vitesse du vent est supérieure à 2 Beauforts (maxim</w:t>
      </w:r>
      <w:r w:rsidR="00CD242B" w:rsidRPr="00AB6090">
        <w:t xml:space="preserve">um 3,3m/s, 11km/h., ou 6kts).  </w:t>
      </w:r>
    </w:p>
    <w:p w14:paraId="6AEEF626" w14:textId="77777777" w:rsidR="00CD242B" w:rsidRPr="00AB6090" w:rsidRDefault="00BC31EE" w:rsidP="0063032F">
      <w:pPr>
        <w:pStyle w:val="Paragraphedeliste"/>
        <w:numPr>
          <w:ilvl w:val="0"/>
          <w:numId w:val="22"/>
        </w:numPr>
        <w:jc w:val="both"/>
      </w:pPr>
      <w:r w:rsidRPr="00AB6090">
        <w:t xml:space="preserve">Il est interdit de lâcher des lanternes célestes en cas de sécheresse persistante.  </w:t>
      </w:r>
    </w:p>
    <w:p w14:paraId="6C65FC39" w14:textId="77777777" w:rsidR="00CD242B" w:rsidRPr="00AB6090" w:rsidRDefault="00BC31EE" w:rsidP="0063032F">
      <w:pPr>
        <w:pStyle w:val="Paragraphedeliste"/>
        <w:numPr>
          <w:ilvl w:val="0"/>
          <w:numId w:val="22"/>
        </w:numPr>
        <w:jc w:val="both"/>
      </w:pPr>
      <w:r w:rsidRPr="00AB6090">
        <w:t xml:space="preserve">Il est interdit de lâcher des lanternes célestes en cas de pluie ou de brouillard.  </w:t>
      </w:r>
      <w:r w:rsidRPr="00AB6090">
        <w:t xml:space="preserve"> Le lâcher doit être réalisé par des personnes majeures, au minimum 2 adultes. </w:t>
      </w:r>
    </w:p>
    <w:p w14:paraId="1F8A109E" w14:textId="77777777" w:rsidR="00CD242B" w:rsidRPr="00AB6090" w:rsidRDefault="00BC31EE" w:rsidP="0063032F">
      <w:pPr>
        <w:pStyle w:val="Paragraphedeliste"/>
        <w:numPr>
          <w:ilvl w:val="0"/>
          <w:numId w:val="22"/>
        </w:numPr>
        <w:jc w:val="both"/>
      </w:pPr>
      <w:r w:rsidRPr="00AB6090">
        <w:t xml:space="preserve">Les lanternes célestes doivent être lâchées une par une. </w:t>
      </w:r>
    </w:p>
    <w:p w14:paraId="0EAC4542" w14:textId="77777777" w:rsidR="00CD242B" w:rsidRPr="00AB6090" w:rsidRDefault="00BC31EE" w:rsidP="0063032F">
      <w:pPr>
        <w:pStyle w:val="Paragraphedeliste"/>
        <w:numPr>
          <w:ilvl w:val="0"/>
          <w:numId w:val="22"/>
        </w:numPr>
        <w:jc w:val="both"/>
      </w:pPr>
      <w:r w:rsidRPr="00AB6090">
        <w:t xml:space="preserve">L'utilisateur est tenu de suivre rigoureusement les instructions figurant sur la notice des lanternes, notamment en ce qui concerne l'obligation d'attendre qu'elles aient acquis une force ascensionnelle suffisante avant de les lâcher. </w:t>
      </w:r>
    </w:p>
    <w:p w14:paraId="01E9AFE0" w14:textId="77777777" w:rsidR="00CD242B" w:rsidRPr="00AB6090" w:rsidRDefault="00BC31EE" w:rsidP="0063032F">
      <w:pPr>
        <w:pStyle w:val="Paragraphedeliste"/>
        <w:numPr>
          <w:ilvl w:val="0"/>
          <w:numId w:val="22"/>
        </w:numPr>
        <w:jc w:val="both"/>
      </w:pPr>
      <w:r w:rsidRPr="00AB6090">
        <w:t xml:space="preserve">L'utilisateur prévoira les extincteurs nécessaires à l'endroit où les lanternes célestes seront lâchées.  </w:t>
      </w:r>
      <w:r w:rsidR="00B325F2" w:rsidRPr="00AB6090">
        <w:t>L</w:t>
      </w:r>
      <w:r w:rsidR="00CD242B" w:rsidRPr="00AB6090">
        <w:t>a date du dernier contrôle ne peut être supérieure à un an.</w:t>
      </w:r>
    </w:p>
    <w:p w14:paraId="7D0CCF01" w14:textId="77777777" w:rsidR="00CD242B" w:rsidRPr="00AB6090" w:rsidRDefault="00BC31EE" w:rsidP="0063032F">
      <w:pPr>
        <w:pStyle w:val="Paragraphedeliste"/>
        <w:numPr>
          <w:ilvl w:val="0"/>
          <w:numId w:val="22"/>
        </w:numPr>
        <w:jc w:val="both"/>
      </w:pPr>
      <w:r w:rsidRPr="00AB6090">
        <w:t xml:space="preserve">L’allumage à l’intérieur d’un bâtiment est strictement interdit. </w:t>
      </w:r>
    </w:p>
    <w:p w14:paraId="6F6E6721" w14:textId="77777777" w:rsidR="00CD242B" w:rsidRPr="00AB6090" w:rsidRDefault="00BC31EE" w:rsidP="0063032F">
      <w:pPr>
        <w:pStyle w:val="Paragraphedeliste"/>
        <w:numPr>
          <w:ilvl w:val="0"/>
          <w:numId w:val="22"/>
        </w:numPr>
        <w:jc w:val="both"/>
      </w:pPr>
      <w:r w:rsidRPr="00AB6090">
        <w:t xml:space="preserve">Le lâcher des lanternes célestes ne peut pas se faire en direction de personnes. </w:t>
      </w:r>
    </w:p>
    <w:p w14:paraId="79774104" w14:textId="77777777" w:rsidR="00CD242B" w:rsidRPr="00AB6090" w:rsidRDefault="00BC31EE" w:rsidP="0063032F">
      <w:pPr>
        <w:pStyle w:val="Paragraphedeliste"/>
        <w:numPr>
          <w:ilvl w:val="0"/>
          <w:numId w:val="22"/>
        </w:numPr>
        <w:jc w:val="both"/>
      </w:pPr>
      <w:r w:rsidRPr="00AB6090">
        <w:t>Lors du lâcher ou de l'ascension des lanternes célestes, il faut toujours conserver une distance respectable par rapport aux obstacles (il faut être à une distance supérieure au double de la hauteur de tout bâtiment, arbre, forêt ou obstacle naturel).</w:t>
      </w:r>
    </w:p>
    <w:p w14:paraId="6F06232C" w14:textId="77777777" w:rsidR="00CD242B" w:rsidRPr="00AB6090" w:rsidRDefault="00BC31EE" w:rsidP="0063032F">
      <w:pPr>
        <w:pStyle w:val="Paragraphedeliste"/>
        <w:numPr>
          <w:ilvl w:val="0"/>
          <w:numId w:val="22"/>
        </w:numPr>
        <w:jc w:val="both"/>
      </w:pPr>
      <w:r w:rsidRPr="00AB6090">
        <w:t>Avant de lâcher les lanternes célestes, il faut vérifier que l’environnement et la trajectoire de la lanterne sont dégagés de tout obstacle (branches d’arbre, fils électriques, etc.).</w:t>
      </w:r>
    </w:p>
    <w:p w14:paraId="59803E67" w14:textId="77777777" w:rsidR="00CD242B" w:rsidRPr="00AB6090" w:rsidRDefault="00BC31EE" w:rsidP="0063032F">
      <w:pPr>
        <w:pStyle w:val="Paragraphedeliste"/>
        <w:numPr>
          <w:ilvl w:val="0"/>
          <w:numId w:val="22"/>
        </w:numPr>
        <w:jc w:val="both"/>
      </w:pPr>
      <w:r w:rsidRPr="00AB6090">
        <w:t>Il est interdit de procéder à un lâcher à moins de 50 m de lignes de transport électrique, de voies de circulation, de voies ferrées.</w:t>
      </w:r>
    </w:p>
    <w:p w14:paraId="27E6D328" w14:textId="77777777" w:rsidR="00BC31EE" w:rsidRPr="00AB6090" w:rsidRDefault="00BC31EE" w:rsidP="0063032F">
      <w:pPr>
        <w:pStyle w:val="Paragraphedeliste"/>
        <w:numPr>
          <w:ilvl w:val="0"/>
          <w:numId w:val="22"/>
        </w:numPr>
        <w:jc w:val="both"/>
      </w:pPr>
      <w:r w:rsidRPr="00AB6090">
        <w:t>Il est interdit de lâcher des lanternes célestes à moins de 200 m d’établissements dangereux ou à risque particulier d’incendie ou d’explosion (par exemple : hangar à foin, station-service, parc à container, usine Seveso, stock de bois, usine avec stockages extérieurs risquant de prendre feu si une flamme tombe dedans, etc.).</w:t>
      </w:r>
    </w:p>
    <w:p w14:paraId="639C8402" w14:textId="77777777" w:rsidR="00BC31EE" w:rsidRPr="00AB6090" w:rsidRDefault="00CD242B" w:rsidP="0063032F">
      <w:pPr>
        <w:pStyle w:val="Style2"/>
        <w:jc w:val="both"/>
        <w:outlineLvl w:val="1"/>
      </w:pPr>
      <w:bookmarkStart w:id="85" w:name="_Toc55899673"/>
      <w:bookmarkStart w:id="86" w:name="_Toc55900417"/>
      <w:bookmarkStart w:id="87" w:name="_Toc56426921"/>
      <w:r w:rsidRPr="00CE292C">
        <w:lastRenderedPageBreak/>
        <w:t>Envol</w:t>
      </w:r>
      <w:r w:rsidRPr="00AB6090">
        <w:t xml:space="preserve"> de montgolfières</w:t>
      </w:r>
      <w:bookmarkEnd w:id="85"/>
      <w:bookmarkEnd w:id="86"/>
      <w:bookmarkEnd w:id="87"/>
      <w:r w:rsidRPr="00AB6090">
        <w:t xml:space="preserve"> </w:t>
      </w:r>
    </w:p>
    <w:tbl>
      <w:tblPr>
        <w:tblStyle w:val="Grilledutableau"/>
        <w:tblW w:w="0" w:type="auto"/>
        <w:tblLook w:val="04A0" w:firstRow="1" w:lastRow="0" w:firstColumn="1" w:lastColumn="0" w:noHBand="0" w:noVBand="1"/>
      </w:tblPr>
      <w:tblGrid>
        <w:gridCol w:w="3485"/>
        <w:gridCol w:w="3485"/>
        <w:gridCol w:w="3486"/>
      </w:tblGrid>
      <w:tr w:rsidR="00CD242B" w:rsidRPr="00AB6090" w14:paraId="5F43EDB9" w14:textId="77777777" w:rsidTr="00567F1A">
        <w:tc>
          <w:tcPr>
            <w:tcW w:w="3485" w:type="dxa"/>
            <w:shd w:val="clear" w:color="auto" w:fill="D9D9D9" w:themeFill="background1" w:themeFillShade="D9"/>
          </w:tcPr>
          <w:p w14:paraId="06812270" w14:textId="77777777" w:rsidR="00CD242B" w:rsidRPr="00AB6090" w:rsidRDefault="00CD242B" w:rsidP="0063032F">
            <w:pPr>
              <w:jc w:val="both"/>
              <w:rPr>
                <w:b/>
              </w:rPr>
            </w:pPr>
            <w:r w:rsidRPr="00AB6090">
              <w:rPr>
                <w:b/>
              </w:rPr>
              <w:t>Questions</w:t>
            </w:r>
          </w:p>
        </w:tc>
        <w:tc>
          <w:tcPr>
            <w:tcW w:w="3485" w:type="dxa"/>
            <w:shd w:val="clear" w:color="auto" w:fill="D9D9D9" w:themeFill="background1" w:themeFillShade="D9"/>
          </w:tcPr>
          <w:p w14:paraId="2312D0C5" w14:textId="77777777" w:rsidR="00CD242B" w:rsidRPr="00AB6090" w:rsidRDefault="00CD242B" w:rsidP="0063032F">
            <w:pPr>
              <w:jc w:val="both"/>
              <w:rPr>
                <w:b/>
              </w:rPr>
            </w:pPr>
            <w:r w:rsidRPr="00AB6090">
              <w:rPr>
                <w:b/>
              </w:rPr>
              <w:t>Si oui</w:t>
            </w:r>
          </w:p>
        </w:tc>
        <w:tc>
          <w:tcPr>
            <w:tcW w:w="3486" w:type="dxa"/>
            <w:shd w:val="clear" w:color="auto" w:fill="D9D9D9" w:themeFill="background1" w:themeFillShade="D9"/>
          </w:tcPr>
          <w:p w14:paraId="23DFE43E" w14:textId="77777777" w:rsidR="00CD242B" w:rsidRPr="00AB6090" w:rsidRDefault="00CD242B" w:rsidP="0063032F">
            <w:pPr>
              <w:jc w:val="both"/>
              <w:rPr>
                <w:b/>
              </w:rPr>
            </w:pPr>
            <w:r w:rsidRPr="00AB6090">
              <w:rPr>
                <w:b/>
              </w:rPr>
              <w:t>Si non</w:t>
            </w:r>
          </w:p>
        </w:tc>
      </w:tr>
      <w:tr w:rsidR="00CD242B" w:rsidRPr="00AB6090" w14:paraId="14F654F5" w14:textId="77777777" w:rsidTr="00567F1A">
        <w:tc>
          <w:tcPr>
            <w:tcW w:w="3485" w:type="dxa"/>
          </w:tcPr>
          <w:p w14:paraId="4C03ABD2" w14:textId="77777777" w:rsidR="00CD242B" w:rsidRPr="00AB6090" w:rsidRDefault="00CD242B" w:rsidP="0063032F">
            <w:pPr>
              <w:jc w:val="both"/>
            </w:pPr>
            <w:r w:rsidRPr="00AB6090">
              <w:t xml:space="preserve">1. La festivité concerne-t-elle : </w:t>
            </w:r>
          </w:p>
          <w:p w14:paraId="43E37A6B" w14:textId="77777777" w:rsidR="00CD242B" w:rsidRPr="00AB6090" w:rsidRDefault="00CD242B" w:rsidP="0063032F">
            <w:pPr>
              <w:ind w:left="171"/>
              <w:jc w:val="both"/>
            </w:pPr>
            <w:r w:rsidRPr="00AB6090">
              <w:t>- Un spectacle aérien de ballon(s) libre(s) habité(s) dont le but est de réaliser un spectacle de démonstration ou de divertissement. Ce spectacle est planifié à l'avance et annoncé au public.</w:t>
            </w:r>
          </w:p>
          <w:p w14:paraId="08DC40A1" w14:textId="77777777" w:rsidR="00CD242B" w:rsidRPr="00AB6090" w:rsidRDefault="00CD242B" w:rsidP="0063032F">
            <w:pPr>
              <w:ind w:left="171"/>
              <w:jc w:val="both"/>
            </w:pPr>
            <w:r w:rsidRPr="00AB6090">
              <w:t xml:space="preserve">- Les ballons à gaz libres habités  </w:t>
            </w:r>
          </w:p>
          <w:p w14:paraId="04A8073B" w14:textId="77777777" w:rsidR="00CD242B" w:rsidRPr="00AB6090" w:rsidRDefault="00CD242B" w:rsidP="0063032F">
            <w:pPr>
              <w:ind w:left="171"/>
              <w:jc w:val="both"/>
            </w:pPr>
            <w:r w:rsidRPr="00AB6090">
              <w:t>- Les ballons captifs</w:t>
            </w:r>
          </w:p>
        </w:tc>
        <w:tc>
          <w:tcPr>
            <w:tcW w:w="3485" w:type="dxa"/>
          </w:tcPr>
          <w:p w14:paraId="3D2A1263" w14:textId="77777777" w:rsidR="00CD242B" w:rsidRPr="00AB6090" w:rsidRDefault="00CD242B" w:rsidP="0063032F">
            <w:pPr>
              <w:widowControl w:val="0"/>
              <w:autoSpaceDE w:val="0"/>
              <w:autoSpaceDN w:val="0"/>
              <w:adjustRightInd w:val="0"/>
              <w:spacing w:line="259" w:lineRule="auto"/>
              <w:contextualSpacing/>
              <w:jc w:val="both"/>
            </w:pPr>
            <w:r w:rsidRPr="00AB6090">
              <w:t>Il faut demander l’autorisation préalable du SPF Mobilité et Transport, DGTA (direction générale du transport aérien) et respecter la circulaire GDF-073 ET passer à l’étape suivante</w:t>
            </w:r>
          </w:p>
        </w:tc>
        <w:tc>
          <w:tcPr>
            <w:tcW w:w="3486" w:type="dxa"/>
          </w:tcPr>
          <w:p w14:paraId="12104366" w14:textId="77777777" w:rsidR="00CD242B" w:rsidRPr="00AB6090" w:rsidRDefault="00CD242B" w:rsidP="0063032F">
            <w:pPr>
              <w:widowControl w:val="0"/>
              <w:autoSpaceDE w:val="0"/>
              <w:autoSpaceDN w:val="0"/>
              <w:adjustRightInd w:val="0"/>
              <w:spacing w:line="259" w:lineRule="auto"/>
              <w:contextualSpacing/>
              <w:jc w:val="both"/>
            </w:pPr>
            <w:r w:rsidRPr="00AB6090">
              <w:t>Aucune autorisation n’est requise</w:t>
            </w:r>
          </w:p>
        </w:tc>
      </w:tr>
      <w:tr w:rsidR="00CD242B" w:rsidRPr="00AB6090" w14:paraId="4BFA34BD" w14:textId="77777777" w:rsidTr="00567F1A">
        <w:tc>
          <w:tcPr>
            <w:tcW w:w="3485" w:type="dxa"/>
          </w:tcPr>
          <w:p w14:paraId="4925F79F" w14:textId="77777777" w:rsidR="00CD242B" w:rsidRPr="00AB6090" w:rsidRDefault="00CD242B" w:rsidP="0063032F">
            <w:pPr>
              <w:jc w:val="both"/>
            </w:pPr>
            <w:r w:rsidRPr="00AB6090">
              <w:t>2. Existe-t-il un dispositif spécialement amené pour la festivité qui permet de ravitailler les engins en combustible ? (poste de remplissage de bonbonnes de gaz ou autre dispositif)</w:t>
            </w:r>
          </w:p>
        </w:tc>
        <w:tc>
          <w:tcPr>
            <w:tcW w:w="3485" w:type="dxa"/>
          </w:tcPr>
          <w:p w14:paraId="50996694" w14:textId="77777777" w:rsidR="00CD242B" w:rsidRPr="00AB6090" w:rsidRDefault="00CD242B" w:rsidP="0063032F">
            <w:pPr>
              <w:widowControl w:val="0"/>
              <w:autoSpaceDE w:val="0"/>
              <w:autoSpaceDN w:val="0"/>
              <w:adjustRightInd w:val="0"/>
              <w:spacing w:line="259" w:lineRule="auto"/>
              <w:contextualSpacing/>
              <w:jc w:val="both"/>
            </w:pPr>
            <w:r w:rsidRPr="00AB6090">
              <w:t>Demander l’avis préalable de la zone de secours</w:t>
            </w:r>
          </w:p>
        </w:tc>
        <w:tc>
          <w:tcPr>
            <w:tcW w:w="3486" w:type="dxa"/>
          </w:tcPr>
          <w:p w14:paraId="2801111C" w14:textId="77777777" w:rsidR="00CD242B" w:rsidRPr="00AB6090" w:rsidRDefault="00CD242B" w:rsidP="0063032F">
            <w:pPr>
              <w:widowControl w:val="0"/>
              <w:autoSpaceDE w:val="0"/>
              <w:autoSpaceDN w:val="0"/>
              <w:adjustRightInd w:val="0"/>
              <w:spacing w:line="259" w:lineRule="auto"/>
              <w:contextualSpacing/>
              <w:jc w:val="both"/>
            </w:pPr>
            <w:r w:rsidRPr="00AB6090">
              <w:t>Pas d’avis nécessaire</w:t>
            </w:r>
          </w:p>
        </w:tc>
      </w:tr>
    </w:tbl>
    <w:p w14:paraId="58C62122" w14:textId="77777777" w:rsidR="00CD242B" w:rsidRPr="00AB6090" w:rsidRDefault="00CD242B" w:rsidP="0063032F">
      <w:pPr>
        <w:jc w:val="both"/>
      </w:pPr>
    </w:p>
    <w:p w14:paraId="43F1F376" w14:textId="77777777" w:rsidR="00CD242B" w:rsidRPr="00AB6090" w:rsidRDefault="00CD242B" w:rsidP="0063032F">
      <w:pPr>
        <w:jc w:val="both"/>
      </w:pPr>
      <w:r w:rsidRPr="00AB6090">
        <w:t>Pour plus d’informations, il y a lieu de consulter le site internet du SPF Mobilité et Transport.</w:t>
      </w:r>
    </w:p>
    <w:p w14:paraId="6D36B8EE"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449D1B1D" w14:textId="77777777" w:rsidR="00CD242B" w:rsidRPr="00AB6090" w:rsidRDefault="00CD242B" w:rsidP="0063032F">
      <w:pPr>
        <w:jc w:val="both"/>
      </w:pPr>
      <w:r w:rsidRPr="00AB6090">
        <w:t xml:space="preserve">La circulaire GDF-07 prévoit les dispositions suivantes relatives aux secours : </w:t>
      </w:r>
    </w:p>
    <w:p w14:paraId="5A260B1D" w14:textId="77777777" w:rsidR="00B325F2" w:rsidRPr="00AB6090" w:rsidRDefault="00CD242B" w:rsidP="0063032F">
      <w:pPr>
        <w:jc w:val="both"/>
      </w:pPr>
      <w:r w:rsidRPr="00AB6090">
        <w:t xml:space="preserve">La zone de secours doit donner son avis et ses prescriptions pour le point de ravitaillement en carburant ;  </w:t>
      </w:r>
    </w:p>
    <w:p w14:paraId="008540BD" w14:textId="77777777" w:rsidR="00B325F2" w:rsidRPr="00AB6090" w:rsidRDefault="00CD242B" w:rsidP="0063032F">
      <w:pPr>
        <w:jc w:val="both"/>
      </w:pPr>
      <w:r w:rsidRPr="00AB6090">
        <w:t>Pendant toute la durée des activités aériennes, une équipe de premiers soins doit être sur place.</w:t>
      </w:r>
    </w:p>
    <w:p w14:paraId="1311470A" w14:textId="77777777" w:rsidR="00CD242B" w:rsidRPr="00AB6090" w:rsidRDefault="00CD242B" w:rsidP="0063032F">
      <w:pPr>
        <w:jc w:val="both"/>
      </w:pPr>
      <w:r w:rsidRPr="00AB6090">
        <w:t xml:space="preserve">Le matériel nécessaire de lutte contre l’incendie doit être présent pendant toute la durée de l’activité. </w:t>
      </w:r>
      <w:r w:rsidR="00B325F2" w:rsidRPr="00AB6090">
        <w:t>La date du dernier contrôle ne peut être supérieure à un an.</w:t>
      </w:r>
    </w:p>
    <w:p w14:paraId="3D96778B" w14:textId="72FF509B" w:rsidR="00B325F2" w:rsidRPr="00AB6090" w:rsidRDefault="00CD242B" w:rsidP="0063032F">
      <w:pPr>
        <w:jc w:val="both"/>
      </w:pPr>
      <w:r w:rsidRPr="00AB6090">
        <w:t xml:space="preserve"> Les critères précis pour le point de ravitaillement en carburant et le matériel de lutte contre l’incendie seront indiqués par la zone de secours en fonction de l’analyse du dossier. En ce qui concerne l’équipe de premiers soins, l’organisateur doit trouver un partenaire.  </w:t>
      </w:r>
    </w:p>
    <w:p w14:paraId="5074F0DD" w14:textId="77777777" w:rsidR="00CD242B" w:rsidRPr="00AB6090" w:rsidRDefault="00CD242B" w:rsidP="0063032F">
      <w:pPr>
        <w:jc w:val="both"/>
      </w:pPr>
      <w:r w:rsidRPr="00AB6090">
        <w:t xml:space="preserve">La zone de secours ne fournit pas ce genre de prestations. </w:t>
      </w:r>
    </w:p>
    <w:p w14:paraId="31493CE1" w14:textId="77777777" w:rsidR="00CD242B" w:rsidRPr="00AB6090" w:rsidRDefault="00CD242B" w:rsidP="0063032F">
      <w:pPr>
        <w:jc w:val="both"/>
      </w:pPr>
      <w:r w:rsidRPr="00AB6090">
        <w:t xml:space="preserve"> D’autres dispositions à respecter par l’organisateur sont précisées dans la circulaire GDF-07, il appartient donc à l’organisateur de s’y référer. </w:t>
      </w:r>
    </w:p>
    <w:p w14:paraId="61B16179" w14:textId="77777777" w:rsidR="00CD242B" w:rsidRPr="00AB6090" w:rsidRDefault="00CD242B" w:rsidP="0063032F">
      <w:pPr>
        <w:jc w:val="both"/>
      </w:pPr>
    </w:p>
    <w:p w14:paraId="6CF541B6" w14:textId="77777777" w:rsidR="00BC31EE" w:rsidRPr="00AB6090" w:rsidRDefault="00B325F2" w:rsidP="0063032F">
      <w:pPr>
        <w:pStyle w:val="Style2"/>
        <w:jc w:val="both"/>
        <w:outlineLvl w:val="1"/>
      </w:pPr>
      <w:bookmarkStart w:id="88" w:name="_Toc55899674"/>
      <w:bookmarkStart w:id="89" w:name="_Toc55900418"/>
      <w:bookmarkStart w:id="90" w:name="_Toc56426922"/>
      <w:r w:rsidRPr="00AB6090">
        <w:t>Feux d</w:t>
      </w:r>
      <w:r w:rsidRPr="00AB6090">
        <w:rPr>
          <w:rFonts w:ascii="Times New Roman" w:hAnsi="Times New Roman" w:cs="Times New Roman"/>
        </w:rPr>
        <w:t>’</w:t>
      </w:r>
      <w:r w:rsidRPr="00AB6090">
        <w:t>artifice</w:t>
      </w:r>
      <w:bookmarkEnd w:id="88"/>
      <w:bookmarkEnd w:id="89"/>
      <w:bookmarkEnd w:id="90"/>
    </w:p>
    <w:tbl>
      <w:tblPr>
        <w:tblStyle w:val="Grilledutableau"/>
        <w:tblW w:w="0" w:type="auto"/>
        <w:tblLook w:val="04A0" w:firstRow="1" w:lastRow="0" w:firstColumn="1" w:lastColumn="0" w:noHBand="0" w:noVBand="1"/>
      </w:tblPr>
      <w:tblGrid>
        <w:gridCol w:w="3485"/>
        <w:gridCol w:w="3485"/>
        <w:gridCol w:w="3486"/>
      </w:tblGrid>
      <w:tr w:rsidR="00B325F2" w:rsidRPr="00AB6090" w14:paraId="60EC480B" w14:textId="77777777" w:rsidTr="00567F1A">
        <w:tc>
          <w:tcPr>
            <w:tcW w:w="3485" w:type="dxa"/>
            <w:shd w:val="clear" w:color="auto" w:fill="D9D9D9" w:themeFill="background1" w:themeFillShade="D9"/>
          </w:tcPr>
          <w:p w14:paraId="17E6CC65" w14:textId="77777777" w:rsidR="00B325F2" w:rsidRPr="00AB6090" w:rsidRDefault="00B325F2" w:rsidP="0063032F">
            <w:pPr>
              <w:jc w:val="both"/>
              <w:rPr>
                <w:b/>
              </w:rPr>
            </w:pPr>
            <w:r w:rsidRPr="00AB6090">
              <w:rPr>
                <w:b/>
              </w:rPr>
              <w:t>Questions</w:t>
            </w:r>
          </w:p>
        </w:tc>
        <w:tc>
          <w:tcPr>
            <w:tcW w:w="3485" w:type="dxa"/>
            <w:shd w:val="clear" w:color="auto" w:fill="D9D9D9" w:themeFill="background1" w:themeFillShade="D9"/>
          </w:tcPr>
          <w:p w14:paraId="0C3BFA1D" w14:textId="77777777" w:rsidR="00B325F2" w:rsidRPr="00AB6090" w:rsidRDefault="00B325F2" w:rsidP="0063032F">
            <w:pPr>
              <w:jc w:val="both"/>
              <w:rPr>
                <w:b/>
              </w:rPr>
            </w:pPr>
            <w:r w:rsidRPr="00AB6090">
              <w:rPr>
                <w:b/>
              </w:rPr>
              <w:t>Si oui</w:t>
            </w:r>
          </w:p>
        </w:tc>
        <w:tc>
          <w:tcPr>
            <w:tcW w:w="3486" w:type="dxa"/>
            <w:shd w:val="clear" w:color="auto" w:fill="D9D9D9" w:themeFill="background1" w:themeFillShade="D9"/>
          </w:tcPr>
          <w:p w14:paraId="73F6DF95" w14:textId="77777777" w:rsidR="00B325F2" w:rsidRPr="00AB6090" w:rsidRDefault="00B325F2" w:rsidP="0063032F">
            <w:pPr>
              <w:jc w:val="both"/>
              <w:rPr>
                <w:b/>
              </w:rPr>
            </w:pPr>
            <w:r w:rsidRPr="00AB6090">
              <w:rPr>
                <w:b/>
              </w:rPr>
              <w:t>Si non</w:t>
            </w:r>
          </w:p>
        </w:tc>
      </w:tr>
      <w:tr w:rsidR="00B325F2" w:rsidRPr="00AB6090" w14:paraId="20AB7F06" w14:textId="77777777" w:rsidTr="00567F1A">
        <w:tc>
          <w:tcPr>
            <w:tcW w:w="3485" w:type="dxa"/>
          </w:tcPr>
          <w:p w14:paraId="6394C402" w14:textId="77777777" w:rsidR="00B325F2" w:rsidRPr="00AB6090" w:rsidRDefault="00B325F2" w:rsidP="0063032F">
            <w:pPr>
              <w:ind w:left="171"/>
              <w:jc w:val="both"/>
            </w:pPr>
            <w:r w:rsidRPr="00AB6090">
              <w:t>1. S’agit-il d’un feu d’artifice tiré par un professionnel ?</w:t>
            </w:r>
          </w:p>
        </w:tc>
        <w:tc>
          <w:tcPr>
            <w:tcW w:w="3485" w:type="dxa"/>
          </w:tcPr>
          <w:p w14:paraId="5D305DC9" w14:textId="77777777" w:rsidR="00B325F2" w:rsidRPr="00AB6090" w:rsidRDefault="00B325F2" w:rsidP="0063032F">
            <w:pPr>
              <w:widowControl w:val="0"/>
              <w:autoSpaceDE w:val="0"/>
              <w:autoSpaceDN w:val="0"/>
              <w:adjustRightInd w:val="0"/>
              <w:spacing w:line="259" w:lineRule="auto"/>
              <w:contextualSpacing/>
              <w:jc w:val="both"/>
            </w:pPr>
            <w:r w:rsidRPr="00AB6090">
              <w:t>Il faut demander l’avis de la zone de secours (§ 5.3.1)</w:t>
            </w:r>
          </w:p>
        </w:tc>
        <w:tc>
          <w:tcPr>
            <w:tcW w:w="3486" w:type="dxa"/>
          </w:tcPr>
          <w:p w14:paraId="238AD8CA" w14:textId="77777777" w:rsidR="00B325F2" w:rsidRPr="00AB6090" w:rsidRDefault="00B325F2" w:rsidP="0063032F">
            <w:pPr>
              <w:widowControl w:val="0"/>
              <w:autoSpaceDE w:val="0"/>
              <w:autoSpaceDN w:val="0"/>
              <w:adjustRightInd w:val="0"/>
              <w:spacing w:line="259" w:lineRule="auto"/>
              <w:contextualSpacing/>
              <w:jc w:val="both"/>
            </w:pPr>
            <w:r w:rsidRPr="00AB6090">
              <w:t>Il faut respecter les prescriptions prévues pour les feux tirés par les particuliers (§ 5.3.2)</w:t>
            </w:r>
          </w:p>
        </w:tc>
      </w:tr>
    </w:tbl>
    <w:p w14:paraId="542659AC" w14:textId="77777777" w:rsidR="002126C4" w:rsidRDefault="002126C4" w:rsidP="002126C4">
      <w:pPr>
        <w:rPr>
          <w:b/>
          <w:bCs/>
          <w:sz w:val="30"/>
          <w:szCs w:val="30"/>
          <w:u w:val="single"/>
        </w:rPr>
      </w:pPr>
      <w:bookmarkStart w:id="91" w:name="_Toc55899675"/>
      <w:bookmarkStart w:id="92" w:name="_Toc55900419"/>
      <w:bookmarkStart w:id="93" w:name="_Toc56426923"/>
    </w:p>
    <w:p w14:paraId="2E5D865F" w14:textId="30032C0C" w:rsidR="00B325F2" w:rsidRPr="002126C4" w:rsidRDefault="00B325F2" w:rsidP="002126C4">
      <w:pPr>
        <w:rPr>
          <w:b/>
          <w:bCs/>
          <w:sz w:val="30"/>
          <w:szCs w:val="30"/>
          <w:u w:val="single"/>
        </w:rPr>
      </w:pPr>
      <w:r w:rsidRPr="002126C4">
        <w:rPr>
          <w:b/>
          <w:bCs/>
          <w:sz w:val="30"/>
          <w:szCs w:val="30"/>
          <w:u w:val="single"/>
        </w:rPr>
        <w:t>Recommandations de sécurité, pour un feu d’artifice tir</w:t>
      </w:r>
      <w:r w:rsidRPr="002126C4">
        <w:rPr>
          <w:rFonts w:hint="eastAsia"/>
          <w:b/>
          <w:bCs/>
          <w:sz w:val="30"/>
          <w:szCs w:val="30"/>
          <w:u w:val="single"/>
        </w:rPr>
        <w:t>é</w:t>
      </w:r>
      <w:r w:rsidRPr="002126C4">
        <w:rPr>
          <w:b/>
          <w:bCs/>
          <w:sz w:val="30"/>
          <w:szCs w:val="30"/>
          <w:u w:val="single"/>
        </w:rPr>
        <w:t xml:space="preserve"> par un professionnel ?</w:t>
      </w:r>
      <w:bookmarkEnd w:id="91"/>
      <w:bookmarkEnd w:id="92"/>
      <w:bookmarkEnd w:id="93"/>
    </w:p>
    <w:p w14:paraId="54F8B6DD" w14:textId="77777777" w:rsidR="006A6AA7" w:rsidRPr="00AB6090" w:rsidRDefault="006A6AA7" w:rsidP="0063032F">
      <w:pPr>
        <w:jc w:val="both"/>
      </w:pPr>
      <w:r w:rsidRPr="00AB6090">
        <w:t>Sans préjudice d’autres dispositions légales, il importe de savoir que l’artificier doit</w:t>
      </w:r>
      <w:r w:rsidR="00B56001" w:rsidRPr="00AB6090">
        <w:t xml:space="preserve"> répondre à certaines règles</w:t>
      </w:r>
      <w:r w:rsidR="00DD79B8">
        <w:rPr>
          <w:rFonts w:ascii="ZWAdobeF" w:hAnsi="ZWAdobeF" w:cs="ZWAdobeF"/>
          <w:color w:val="auto"/>
          <w:sz w:val="2"/>
          <w:szCs w:val="2"/>
        </w:rPr>
        <w:t>1F</w:t>
      </w:r>
      <w:r w:rsidR="00B56001" w:rsidRPr="00AB6090">
        <w:rPr>
          <w:rStyle w:val="Appelnotedebasdep"/>
        </w:rPr>
        <w:footnoteReference w:id="2"/>
      </w:r>
    </w:p>
    <w:p w14:paraId="648C19A5" w14:textId="77777777" w:rsidR="006A6AA7" w:rsidRPr="00AB6090" w:rsidRDefault="006A6AA7" w:rsidP="0063032F">
      <w:pPr>
        <w:jc w:val="both"/>
      </w:pPr>
      <w:r w:rsidRPr="00AB6090">
        <w:t xml:space="preserve">1. Tout d’abord, il faut savoir qu’il n’existe pas de réglementation fédérale spécifique relative à la mise en œuvre de tirs de feux d’artifice.  Il appartient donc à l’artificier et à l’organisateur de prendre toutes les dispositions nécessaires pour garantir la sécurité publique. </w:t>
      </w:r>
    </w:p>
    <w:p w14:paraId="6DC0B537" w14:textId="77777777" w:rsidR="006A6AA7" w:rsidRPr="00AB6090" w:rsidRDefault="006A6AA7" w:rsidP="0063032F">
      <w:pPr>
        <w:jc w:val="both"/>
      </w:pPr>
      <w:r w:rsidRPr="00AB6090">
        <w:t xml:space="preserve">2. L’artificier doit disposer d’un dépôt dûment autorisé pour le stockage de produits pyrotechniques ; </w:t>
      </w:r>
    </w:p>
    <w:p w14:paraId="14F4FCDD" w14:textId="77777777" w:rsidR="006A6AA7" w:rsidRPr="00AB6090" w:rsidRDefault="006A6AA7" w:rsidP="0063032F">
      <w:pPr>
        <w:jc w:val="both"/>
      </w:pPr>
      <w:r w:rsidRPr="00AB6090">
        <w:t xml:space="preserve">3. L’artificier doit disposer d’une autorisation de transport des artifices de spectacle depuis un lieu de stockage dûment autorisé vers les lieux de tir ; </w:t>
      </w:r>
    </w:p>
    <w:p w14:paraId="159563C2" w14:textId="77777777" w:rsidR="00B325F2" w:rsidRPr="00AB6090" w:rsidRDefault="006A6AA7" w:rsidP="0063032F">
      <w:pPr>
        <w:jc w:val="both"/>
      </w:pPr>
      <w:r w:rsidRPr="00AB6090">
        <w:t>4. L’artificier doit uniquement utiliser des artifices de divertissement pouvant être mis sur le marché et transportés ; 5. L’artificier doit réaliser le transport selon les règles de l’ADR ;</w:t>
      </w:r>
    </w:p>
    <w:p w14:paraId="1F20C92B" w14:textId="77777777" w:rsidR="00B56001" w:rsidRPr="00AB6090" w:rsidRDefault="00B56001" w:rsidP="0063032F">
      <w:pPr>
        <w:jc w:val="both"/>
      </w:pPr>
      <w:r w:rsidRPr="00AB6090">
        <w:t xml:space="preserve">6. L’artificier doit disposer d’un document de sécurité reprenant : </w:t>
      </w:r>
    </w:p>
    <w:p w14:paraId="47D2393B" w14:textId="77777777" w:rsidR="00B56001" w:rsidRPr="00AB6090" w:rsidRDefault="00B56001" w:rsidP="0063032F">
      <w:pPr>
        <w:pStyle w:val="Paragraphedeliste"/>
        <w:numPr>
          <w:ilvl w:val="0"/>
          <w:numId w:val="23"/>
        </w:numPr>
        <w:jc w:val="both"/>
      </w:pPr>
      <w:r w:rsidRPr="00AB6090">
        <w:lastRenderedPageBreak/>
        <w:t xml:space="preserve">Les coordonnées du responsable du tir ; </w:t>
      </w:r>
    </w:p>
    <w:p w14:paraId="66EA78A1" w14:textId="77777777" w:rsidR="00B56001" w:rsidRPr="00AB6090" w:rsidRDefault="00B56001" w:rsidP="0063032F">
      <w:pPr>
        <w:pStyle w:val="Paragraphedeliste"/>
        <w:numPr>
          <w:ilvl w:val="0"/>
          <w:numId w:val="23"/>
        </w:numPr>
        <w:jc w:val="both"/>
      </w:pPr>
      <w:r w:rsidRPr="00AB6090">
        <w:t xml:space="preserve">Le plan de tir o La liste des produits mis en œuvre (y compris leurs caractéristiques et la distance de sécurité associée à chaque type de produit) ; </w:t>
      </w:r>
    </w:p>
    <w:p w14:paraId="4C229D6B" w14:textId="77777777" w:rsidR="00B56001" w:rsidRPr="00AB6090" w:rsidRDefault="00B56001" w:rsidP="0063032F">
      <w:pPr>
        <w:pStyle w:val="Paragraphedeliste"/>
        <w:numPr>
          <w:ilvl w:val="0"/>
          <w:numId w:val="23"/>
        </w:numPr>
        <w:jc w:val="both"/>
      </w:pPr>
      <w:r w:rsidRPr="00AB6090">
        <w:t xml:space="preserve">Les dispositions prises pour assurer la sécurité ; </w:t>
      </w:r>
    </w:p>
    <w:p w14:paraId="66FDDF0C" w14:textId="77777777" w:rsidR="00B56001" w:rsidRPr="00AB6090" w:rsidRDefault="00B56001" w:rsidP="0063032F">
      <w:pPr>
        <w:pStyle w:val="Paragraphedeliste"/>
        <w:numPr>
          <w:ilvl w:val="0"/>
          <w:numId w:val="23"/>
        </w:numPr>
        <w:jc w:val="both"/>
      </w:pPr>
      <w:r w:rsidRPr="00AB6090">
        <w:t xml:space="preserve">Les distances de sécurité vis-à-vis des spectateurs ; </w:t>
      </w:r>
    </w:p>
    <w:p w14:paraId="3462ACA5" w14:textId="77777777" w:rsidR="00B56001" w:rsidRPr="00AB6090" w:rsidRDefault="00B56001" w:rsidP="0063032F">
      <w:pPr>
        <w:pStyle w:val="Paragraphedeliste"/>
        <w:numPr>
          <w:ilvl w:val="0"/>
          <w:numId w:val="23"/>
        </w:numPr>
        <w:jc w:val="both"/>
      </w:pPr>
      <w:r w:rsidRPr="00AB6090">
        <w:t xml:space="preserve">Les distances d’éloignement minimales par rapport aux bâtiments ; </w:t>
      </w:r>
    </w:p>
    <w:p w14:paraId="48861540" w14:textId="77777777" w:rsidR="00B56001" w:rsidRPr="00AB6090" w:rsidRDefault="00B56001" w:rsidP="0063032F">
      <w:pPr>
        <w:pStyle w:val="Paragraphedeliste"/>
        <w:numPr>
          <w:ilvl w:val="0"/>
          <w:numId w:val="23"/>
        </w:numPr>
        <w:jc w:val="both"/>
      </w:pPr>
      <w:r w:rsidRPr="00AB6090">
        <w:t xml:space="preserve">Toute autre information relative à la sécurité du tir prévu. </w:t>
      </w:r>
    </w:p>
    <w:p w14:paraId="5AEA13E3" w14:textId="77777777" w:rsidR="00B56001" w:rsidRPr="00AB6090" w:rsidRDefault="00B56001" w:rsidP="0063032F">
      <w:pPr>
        <w:jc w:val="both"/>
        <w:rPr>
          <w:b/>
        </w:rPr>
      </w:pPr>
      <w:r w:rsidRPr="00AB6090">
        <w:rPr>
          <w:b/>
        </w:rPr>
        <w:t xml:space="preserve">La zone de secours demande que le dossier de sécurité soit complété par un inventaire, dans un rayon de 200 m minimum autour du pas de tir, des bâtiments, installations et objets situés dans ce rayon, qui présentent un risque d’incendie.  Cet inventaire permettra à la zone de secours d’argumenter son avis. </w:t>
      </w:r>
    </w:p>
    <w:p w14:paraId="6109CAEC" w14:textId="77777777" w:rsidR="00B56001" w:rsidRPr="00AB6090" w:rsidRDefault="00B56001" w:rsidP="0063032F">
      <w:pPr>
        <w:jc w:val="both"/>
      </w:pPr>
      <w:r w:rsidRPr="00AB6090">
        <w:t xml:space="preserve">Le rayon de 200 m pourra être augmenté par l’artificier ou la zone de secours en fonction du tir prévu et des caractéristiques des artifices utilisés.   </w:t>
      </w:r>
    </w:p>
    <w:p w14:paraId="4FBAA94F" w14:textId="77777777" w:rsidR="00B56001" w:rsidRPr="00AB6090" w:rsidRDefault="00B56001" w:rsidP="0063032F">
      <w:pPr>
        <w:jc w:val="both"/>
      </w:pPr>
      <w:r w:rsidRPr="00AB6090">
        <w:t xml:space="preserve"> L’avis sera d’office négatif si cette zone de minimum 200 m de rayon comprend un établissement de classe 1 au sens du RGPT, qui est mentionné comme dangereux, insalubre ou gênant et qui implique un risque d’incendie ou d’explosion ; </w:t>
      </w:r>
    </w:p>
    <w:p w14:paraId="46FE12EA" w14:textId="77777777" w:rsidR="00B56001" w:rsidRPr="00AB6090" w:rsidRDefault="00B56001" w:rsidP="0063032F">
      <w:pPr>
        <w:jc w:val="both"/>
      </w:pPr>
      <w:r w:rsidRPr="00AB6090">
        <w:t xml:space="preserve"> Il est recommandé que l’autorité communale vérifie que l’artificier répond aux exigences détaillées aux points 2 à 5 ci-avant, qu’il dispose d’une assurance en responsabilité civile adaptée au tir de feu d’artifices et qu’il dispose de l’autorisation du SPF Mobilité (DG Transport aérien) pour le tir concerné par la demande.   </w:t>
      </w:r>
    </w:p>
    <w:p w14:paraId="1C288555" w14:textId="77777777" w:rsidR="00B56001" w:rsidRPr="00AB6090" w:rsidRDefault="00B56001" w:rsidP="0063032F">
      <w:pPr>
        <w:jc w:val="both"/>
      </w:pPr>
      <w:r w:rsidRPr="00AB6090">
        <w:t xml:space="preserve"> Ensuite, l’autorité communale devra demander à l’artificier son dossier de sécurité tel que précisé au point 6 ci-avant.  Ce dossier sera toujours envoyé par la commune à la zone de secours qui donnera alors son avis.  Si le dossier de sécurité n’est pas communiqué, la zone de secours ne formulera pas d’avis.</w:t>
      </w:r>
    </w:p>
    <w:p w14:paraId="598FDE0D" w14:textId="77777777" w:rsidR="00B56001" w:rsidRPr="00AB6090" w:rsidRDefault="00B56001" w:rsidP="0063032F">
      <w:pPr>
        <w:jc w:val="both"/>
      </w:pPr>
      <w:r w:rsidRPr="00AB6090">
        <w:t>En plus de l’avis formulé sur base de l’analyse du dossier de sécurité, la zone de secours formulera toujours les prescriptions suivantes :</w:t>
      </w:r>
    </w:p>
    <w:p w14:paraId="7F468032" w14:textId="77777777" w:rsidR="00B56001" w:rsidRPr="00AB6090" w:rsidRDefault="00B56001" w:rsidP="0063032F">
      <w:pPr>
        <w:pStyle w:val="Paragraphedeliste"/>
        <w:numPr>
          <w:ilvl w:val="0"/>
          <w:numId w:val="24"/>
        </w:numPr>
        <w:jc w:val="both"/>
      </w:pPr>
      <w:r w:rsidRPr="00AB6090">
        <w:t xml:space="preserve">Le pas de tir est interdit au public depuis le début du montage jusqu’à la fin du démontage. </w:t>
      </w:r>
    </w:p>
    <w:p w14:paraId="4EB0F872" w14:textId="77777777" w:rsidR="00B56001" w:rsidRPr="00AB6090" w:rsidRDefault="00B56001" w:rsidP="0063032F">
      <w:pPr>
        <w:pStyle w:val="Paragraphedeliste"/>
        <w:numPr>
          <w:ilvl w:val="0"/>
          <w:numId w:val="24"/>
        </w:numPr>
        <w:jc w:val="both"/>
      </w:pPr>
      <w:r w:rsidRPr="00AB6090">
        <w:t xml:space="preserve">Le matériel pyrotechnique est placé sous la surveillance permanente du responsable technique du tir ou d’un opérateur. </w:t>
      </w:r>
    </w:p>
    <w:p w14:paraId="76381809" w14:textId="77777777" w:rsidR="00B56001" w:rsidRPr="00AB6090" w:rsidRDefault="00B56001" w:rsidP="0063032F">
      <w:pPr>
        <w:pStyle w:val="Paragraphedeliste"/>
        <w:numPr>
          <w:ilvl w:val="0"/>
          <w:numId w:val="24"/>
        </w:numPr>
        <w:jc w:val="both"/>
      </w:pPr>
      <w:r w:rsidRPr="00AB6090">
        <w:t xml:space="preserve">Aucun transport de matières dangereuses ne peut avoir lieu ou ne peut stationner dans la zone de 200 m minimum de rayon pendant le tir du feu d’artifice. </w:t>
      </w:r>
    </w:p>
    <w:p w14:paraId="60FEFD51" w14:textId="77777777" w:rsidR="00B56001" w:rsidRPr="00AB6090" w:rsidRDefault="00B56001" w:rsidP="0063032F">
      <w:pPr>
        <w:pStyle w:val="Paragraphedeliste"/>
        <w:numPr>
          <w:ilvl w:val="0"/>
          <w:numId w:val="24"/>
        </w:numPr>
        <w:jc w:val="both"/>
      </w:pPr>
      <w:r w:rsidRPr="00AB6090">
        <w:t xml:space="preserve">Deux jours au plus tard avant le feu d’artifice, l’organisateur devra adresser un avis écrit aux riverains de cette zone, les informant du tir, leur demandant de fermer les tabatières pendant la durée du tir et de protéger le matériel sensible aux retombées (tentes etc.), et leur demandant de tenir compte des réactions éventuelles de peur des animaux dont ils ont la garde. </w:t>
      </w:r>
    </w:p>
    <w:p w14:paraId="3148E392" w14:textId="77777777" w:rsidR="00B56001" w:rsidRPr="00AB6090" w:rsidRDefault="00B56001" w:rsidP="0063032F">
      <w:pPr>
        <w:pStyle w:val="Paragraphedeliste"/>
        <w:numPr>
          <w:ilvl w:val="0"/>
          <w:numId w:val="24"/>
        </w:numPr>
        <w:jc w:val="both"/>
      </w:pPr>
      <w:r w:rsidRPr="00AB6090">
        <w:t xml:space="preserve">L’organisateur tiendra compte des conditions météorologiques pour adapter son dispositif le cas échéant, voire annuler le tir si les conditions de sécurité ne sont pas garanties (notamment en cas de sécheresse ou de vent trop important). </w:t>
      </w:r>
    </w:p>
    <w:p w14:paraId="544F1508" w14:textId="77777777" w:rsidR="00B56001" w:rsidRPr="00AB6090" w:rsidRDefault="00B56001" w:rsidP="0063032F">
      <w:pPr>
        <w:pStyle w:val="Paragraphedeliste"/>
        <w:numPr>
          <w:ilvl w:val="0"/>
          <w:numId w:val="24"/>
        </w:numPr>
        <w:jc w:val="both"/>
      </w:pPr>
      <w:r w:rsidRPr="00AB6090">
        <w:t>Les bouches d’incendie situées sur le terrain occupé ou à proximité doivent rester accessibles.</w:t>
      </w:r>
    </w:p>
    <w:p w14:paraId="78E6A833" w14:textId="77777777" w:rsidR="00B56001" w:rsidRPr="00AB6090" w:rsidRDefault="00B56001" w:rsidP="0063032F">
      <w:pPr>
        <w:pStyle w:val="Paragraphedeliste"/>
        <w:numPr>
          <w:ilvl w:val="0"/>
          <w:numId w:val="24"/>
        </w:numPr>
        <w:jc w:val="both"/>
      </w:pPr>
      <w:r w:rsidRPr="00AB6090">
        <w:t>Le pas de tir disposera au minimum de 2 extincteurs portatifs appropriés au risque et en cours de validité, ainsi que d’une couverture anti-feu.  Ces moyens pourront être revus à la hausse en fonction de l’analyse du dossier.</w:t>
      </w:r>
    </w:p>
    <w:p w14:paraId="43CF93A1" w14:textId="77777777" w:rsidR="00876FBA" w:rsidRPr="00AB6090" w:rsidRDefault="00876FBA" w:rsidP="0063032F">
      <w:pPr>
        <w:pStyle w:val="Paragraphedeliste"/>
        <w:jc w:val="both"/>
      </w:pPr>
    </w:p>
    <w:p w14:paraId="0D5F5EEF" w14:textId="6586F040" w:rsidR="00B56001" w:rsidRPr="002126C4" w:rsidRDefault="00B56001" w:rsidP="002126C4">
      <w:pPr>
        <w:rPr>
          <w:b/>
          <w:bCs/>
          <w:sz w:val="30"/>
          <w:szCs w:val="30"/>
          <w:u w:val="single"/>
        </w:rPr>
      </w:pPr>
      <w:bookmarkStart w:id="94" w:name="_Toc55899676"/>
      <w:bookmarkStart w:id="95" w:name="_Toc55900420"/>
      <w:bookmarkStart w:id="96" w:name="_Toc56426924"/>
      <w:r w:rsidRPr="002126C4">
        <w:rPr>
          <w:b/>
          <w:bCs/>
          <w:sz w:val="30"/>
          <w:szCs w:val="30"/>
          <w:u w:val="single"/>
        </w:rPr>
        <w:t>Recommandations de sécurité, pour un feu d’artifice tir</w:t>
      </w:r>
      <w:r w:rsidRPr="002126C4">
        <w:rPr>
          <w:rFonts w:hint="eastAsia"/>
          <w:b/>
          <w:bCs/>
          <w:sz w:val="30"/>
          <w:szCs w:val="30"/>
          <w:u w:val="single"/>
        </w:rPr>
        <w:t>é</w:t>
      </w:r>
      <w:r w:rsidRPr="002126C4">
        <w:rPr>
          <w:b/>
          <w:bCs/>
          <w:sz w:val="30"/>
          <w:szCs w:val="30"/>
          <w:u w:val="single"/>
        </w:rPr>
        <w:t xml:space="preserve"> par un particulier</w:t>
      </w:r>
      <w:r w:rsidRPr="002126C4">
        <w:rPr>
          <w:rFonts w:hint="eastAsia"/>
          <w:b/>
          <w:bCs/>
          <w:sz w:val="30"/>
          <w:szCs w:val="30"/>
          <w:u w:val="single"/>
        </w:rPr>
        <w:t> </w:t>
      </w:r>
      <w:r w:rsidRPr="002126C4">
        <w:rPr>
          <w:b/>
          <w:bCs/>
          <w:sz w:val="30"/>
          <w:szCs w:val="30"/>
          <w:u w:val="single"/>
        </w:rPr>
        <w:t>?</w:t>
      </w:r>
      <w:bookmarkEnd w:id="94"/>
      <w:bookmarkEnd w:id="95"/>
      <w:bookmarkEnd w:id="96"/>
    </w:p>
    <w:p w14:paraId="1EC9A954" w14:textId="77777777" w:rsidR="00B56001" w:rsidRPr="00AB6090" w:rsidRDefault="00B56001" w:rsidP="0063032F">
      <w:pPr>
        <w:jc w:val="both"/>
      </w:pPr>
      <w:r w:rsidRPr="00AB6090">
        <w:t xml:space="preserve">Tout feu d’artifice, même organisé par un particulier, est soumis à l’autorisation préalable du Collège communal si </w:t>
      </w:r>
      <w:r w:rsidRPr="00AB6090">
        <w:rPr>
          <w:b/>
          <w:u w:val="single"/>
        </w:rPr>
        <w:t>le règlement de police le prévoit.</w:t>
      </w:r>
      <w:r w:rsidRPr="00AB6090">
        <w:t xml:space="preserve"> </w:t>
      </w:r>
    </w:p>
    <w:p w14:paraId="3971BF54" w14:textId="77777777" w:rsidR="00B56001" w:rsidRPr="00AB6090" w:rsidRDefault="00B56001" w:rsidP="0063032F">
      <w:pPr>
        <w:jc w:val="both"/>
      </w:pPr>
      <w:r w:rsidRPr="00AB6090">
        <w:t xml:space="preserve"> </w:t>
      </w:r>
    </w:p>
    <w:p w14:paraId="5BC5BBC0" w14:textId="77777777" w:rsidR="00B56001" w:rsidRPr="00AB6090" w:rsidRDefault="00B56001" w:rsidP="0063032F">
      <w:pPr>
        <w:jc w:val="both"/>
      </w:pPr>
      <w:r w:rsidRPr="00AB6090">
        <w:t>Pour que la fête que vous organisez ne tourne pas au drame mais devienne un moment de joie, respectez les quelques conseils qui suivent :</w:t>
      </w:r>
    </w:p>
    <w:p w14:paraId="4BC0A478" w14:textId="77777777" w:rsidR="00B56001" w:rsidRPr="00AB6090" w:rsidRDefault="00B56001" w:rsidP="0063032F">
      <w:pPr>
        <w:jc w:val="both"/>
      </w:pPr>
      <w:r w:rsidRPr="00AB6090">
        <w:t xml:space="preserve">N'utilisez que des artifices autorisés (marquage "Artifice de joie BE/OTU xxx/D" ou "Artifice CE de catégorie 1 ou catégorie F1" ou "Artifice CE de catégorie 2 ou catégorie F2") </w:t>
      </w:r>
    </w:p>
    <w:p w14:paraId="387262C4" w14:textId="77777777" w:rsidR="00B56001" w:rsidRPr="00AB6090" w:rsidRDefault="00B56001" w:rsidP="0063032F">
      <w:pPr>
        <w:jc w:val="both"/>
      </w:pPr>
      <w:r w:rsidRPr="00AB6090">
        <w:t xml:space="preserve">Respectez les quantités maximales légales pour un feu tiré par un particulier (max 1 kg de matière pyrotechnique, ce qui correspond plus au moins à 4 ou 5 kg bruts d'artifices) </w:t>
      </w:r>
    </w:p>
    <w:p w14:paraId="1743C482" w14:textId="77777777" w:rsidR="00B56001" w:rsidRPr="00AB6090" w:rsidRDefault="00B56001" w:rsidP="0063032F">
      <w:pPr>
        <w:jc w:val="both"/>
      </w:pPr>
      <w:r w:rsidRPr="00AB6090">
        <w:t xml:space="preserve">À la maison, stockez les artifices de joie dans un endroit sec, hors d’atteinte des enfants et dans une enceinte fermée </w:t>
      </w:r>
      <w:r w:rsidRPr="00AB6090">
        <w:t xml:space="preserve"> Lisez toutes les notices d’instructions avant la mise à feu </w:t>
      </w:r>
    </w:p>
    <w:p w14:paraId="1DD677C2" w14:textId="77777777" w:rsidR="00B56001" w:rsidRPr="00AB6090" w:rsidRDefault="00B56001" w:rsidP="0063032F">
      <w:pPr>
        <w:jc w:val="both"/>
      </w:pPr>
      <w:r w:rsidRPr="00AB6090">
        <w:t xml:space="preserve">Choisissez un lieu de tir approprié : une zone bien dégagée, idéalement plate, horizontale et dure, se trouvant loin des habitations, des véhicules en stationnement et éloignée d’une végétation abondante surtout si celle-ci est sèche </w:t>
      </w:r>
    </w:p>
    <w:p w14:paraId="47BD20B9" w14:textId="77777777" w:rsidR="00B56001" w:rsidRPr="00AB6090" w:rsidRDefault="00B56001" w:rsidP="0063032F">
      <w:pPr>
        <w:jc w:val="both"/>
      </w:pPr>
      <w:r w:rsidRPr="00AB6090">
        <w:t xml:space="preserve">Veillez à ce que les spectateurs restent à une bonne distance du tir </w:t>
      </w:r>
    </w:p>
    <w:p w14:paraId="3D9D2B7B" w14:textId="77777777" w:rsidR="00B56001" w:rsidRPr="00AB6090" w:rsidRDefault="00B56001" w:rsidP="0063032F">
      <w:pPr>
        <w:jc w:val="both"/>
      </w:pPr>
      <w:r w:rsidRPr="00AB6090">
        <w:t xml:space="preserve">Mettez les animaux en lieu sûr : les chiens et chevaux notamment ont peur du bruit engendré par les feux d’artifices et sont effrayés dès les premières déflagrations </w:t>
      </w:r>
    </w:p>
    <w:p w14:paraId="5199D218" w14:textId="77777777" w:rsidR="00B56001" w:rsidRPr="00AB6090" w:rsidRDefault="00B56001" w:rsidP="0063032F">
      <w:pPr>
        <w:jc w:val="both"/>
      </w:pPr>
      <w:r w:rsidRPr="00AB6090">
        <w:t xml:space="preserve">Ayez de l’eau à disposition et un extincteur à proximité </w:t>
      </w:r>
    </w:p>
    <w:p w14:paraId="151DB657" w14:textId="77777777" w:rsidR="00B56001" w:rsidRPr="00AB6090" w:rsidRDefault="00B56001" w:rsidP="0063032F">
      <w:pPr>
        <w:jc w:val="both"/>
      </w:pPr>
      <w:r w:rsidRPr="00AB6090">
        <w:lastRenderedPageBreak/>
        <w:t xml:space="preserve">Faites tirer par des personnes sobres : pour le tireur pas d’alcool ni avant ni pendant le tir </w:t>
      </w:r>
    </w:p>
    <w:p w14:paraId="2FE8F65B" w14:textId="77777777" w:rsidR="00B56001" w:rsidRPr="00AB6090" w:rsidRDefault="00B56001" w:rsidP="0063032F">
      <w:pPr>
        <w:jc w:val="both"/>
      </w:pPr>
      <w:r w:rsidRPr="00AB6090">
        <w:t xml:space="preserve">Lors du tir, protégez efficacement vos yeux en utilisant des lunettes de protection. Ne portez pas de vêtements facilement inflammables. </w:t>
      </w:r>
    </w:p>
    <w:p w14:paraId="173FD73B" w14:textId="77777777" w:rsidR="00B56001" w:rsidRPr="00AB6090" w:rsidRDefault="00B56001" w:rsidP="0063032F">
      <w:pPr>
        <w:jc w:val="both"/>
      </w:pPr>
      <w:r w:rsidRPr="00AB6090">
        <w:t xml:space="preserve">Pour le tir des fusées, fixez solidement un tube dans le sol, placez-y le bâton de la fusée. Ne tirez qu’une fusée à la fois. Attendez le départ de la fusée avant d’en placer une autre. </w:t>
      </w:r>
    </w:p>
    <w:p w14:paraId="0730A191" w14:textId="77777777" w:rsidR="00B56001" w:rsidRPr="00AB6090" w:rsidRDefault="00B56001" w:rsidP="0063032F">
      <w:pPr>
        <w:jc w:val="both"/>
      </w:pPr>
      <w:r w:rsidRPr="00AB6090">
        <w:t xml:space="preserve">Stabilisez les batteries en les entourant, par exemple de blocs lourds. </w:t>
      </w:r>
    </w:p>
    <w:p w14:paraId="6FB2F4D1" w14:textId="77777777" w:rsidR="00B56001" w:rsidRPr="00AB6090" w:rsidRDefault="00B56001" w:rsidP="0063032F">
      <w:pPr>
        <w:jc w:val="both"/>
      </w:pPr>
      <w:r w:rsidRPr="00AB6090">
        <w:t xml:space="preserve">N’allumez les mèches qu’avec un brin allumeur que vous aura donné votre fournisseur. A défaut, un cigare ou une cigarette conviennent également. Surtout, bannissez les allumettes ou les briquets : le risque d’allumer la mèche au mauvais endroit est bien réel et vous n’aurez pas le temps de vous écarter. </w:t>
      </w:r>
    </w:p>
    <w:p w14:paraId="3F66D828" w14:textId="77777777" w:rsidR="00B56001" w:rsidRPr="00AB6090" w:rsidRDefault="00B56001" w:rsidP="0063032F">
      <w:pPr>
        <w:jc w:val="both"/>
      </w:pPr>
      <w:r w:rsidRPr="00AB6090">
        <w:t xml:space="preserve">Éloignez-vous le plus vite possible et mettez-vous à une bonne distance dès qu’une mèche est allumée. </w:t>
      </w:r>
    </w:p>
    <w:p w14:paraId="677F5577" w14:textId="77777777" w:rsidR="00B56001" w:rsidRPr="00AB6090" w:rsidRDefault="00B56001" w:rsidP="0063032F">
      <w:pPr>
        <w:jc w:val="both"/>
      </w:pPr>
      <w:r w:rsidRPr="00AB6090">
        <w:t xml:space="preserve">Ne dirigez jamais un produit allumé vers une personne. </w:t>
      </w:r>
    </w:p>
    <w:p w14:paraId="1AFE9564" w14:textId="77777777" w:rsidR="00B56001" w:rsidRPr="00AB6090" w:rsidRDefault="00B56001" w:rsidP="0063032F">
      <w:pPr>
        <w:jc w:val="both"/>
      </w:pPr>
      <w:r w:rsidRPr="00AB6090">
        <w:t xml:space="preserve">Tenez-vous toujours suffisamment loin des artifices et allumez les mèches avec les bras tendus. </w:t>
      </w:r>
    </w:p>
    <w:p w14:paraId="33B5EB08" w14:textId="77777777" w:rsidR="00B56001" w:rsidRPr="00AB6090" w:rsidRDefault="00B56001" w:rsidP="0063032F">
      <w:pPr>
        <w:jc w:val="both"/>
      </w:pPr>
      <w:r w:rsidRPr="00AB6090">
        <w:t xml:space="preserve">N’allumez jamais un artifice au sol (batterie, fontaine, chandelle, etc.) en vous penchant au-dessus du tube. </w:t>
      </w:r>
    </w:p>
    <w:p w14:paraId="6506533E" w14:textId="77777777" w:rsidR="00B56001" w:rsidRPr="00AB6090" w:rsidRDefault="00B56001" w:rsidP="0063032F">
      <w:pPr>
        <w:jc w:val="both"/>
      </w:pPr>
      <w:r w:rsidRPr="00AB6090">
        <w:t xml:space="preserve">Ne retournez jamais vers un artifice dès que la mèche a été allumée. En cas de non-fonctionnement, attendez au moins 30 minutes. </w:t>
      </w:r>
    </w:p>
    <w:p w14:paraId="3EB45A59" w14:textId="77777777" w:rsidR="00B56001" w:rsidRPr="00AB6090" w:rsidRDefault="00B56001" w:rsidP="0063032F">
      <w:pPr>
        <w:jc w:val="both"/>
      </w:pPr>
      <w:r w:rsidRPr="00AB6090">
        <w:t xml:space="preserve">N’essayez jamais d’allumer une seconde fois une mèche qui n’a pas fonctionné. </w:t>
      </w:r>
    </w:p>
    <w:p w14:paraId="5F6D1C06" w14:textId="0E669921" w:rsidR="00B325F2" w:rsidRDefault="00B56001" w:rsidP="0063032F">
      <w:pPr>
        <w:jc w:val="both"/>
      </w:pPr>
      <w:r w:rsidRPr="00AB6090">
        <w:t xml:space="preserve">À la fin du tir, éteignez les résidus incandescents au niveau du sol. </w:t>
      </w:r>
      <w:r w:rsidRPr="00AB6090">
        <w:t> En cas de vent fort, annulez le tir de fusées.</w:t>
      </w:r>
    </w:p>
    <w:p w14:paraId="5E4AFEFD" w14:textId="77777777" w:rsidR="002126C4" w:rsidRPr="00AB6090" w:rsidRDefault="002126C4" w:rsidP="0063032F">
      <w:pPr>
        <w:jc w:val="both"/>
      </w:pPr>
    </w:p>
    <w:p w14:paraId="77D904F7" w14:textId="77777777" w:rsidR="00B325F2" w:rsidRPr="00AB6090" w:rsidRDefault="004A0FA4" w:rsidP="0063032F">
      <w:pPr>
        <w:pStyle w:val="Style2"/>
        <w:jc w:val="both"/>
        <w:outlineLvl w:val="1"/>
      </w:pPr>
      <w:bookmarkStart w:id="97" w:name="_Toc55899677"/>
      <w:bookmarkStart w:id="98" w:name="_Toc55900421"/>
      <w:bookmarkStart w:id="99" w:name="_Toc56426925"/>
      <w:r w:rsidRPr="00AB6090">
        <w:t>Boire et manger</w:t>
      </w:r>
      <w:bookmarkEnd w:id="97"/>
      <w:bookmarkEnd w:id="98"/>
      <w:bookmarkEnd w:id="99"/>
    </w:p>
    <w:p w14:paraId="5BA0826C" w14:textId="77777777" w:rsidR="004A0FA4" w:rsidRPr="00AB6090" w:rsidRDefault="004A0FA4" w:rsidP="0063032F">
      <w:pPr>
        <w:jc w:val="both"/>
      </w:pPr>
      <w:r w:rsidRPr="00AB6090">
        <w:rPr>
          <w:u w:val="single"/>
        </w:rPr>
        <w:t>Il ne faut pas demander d’avis spécifique à la zone de secours</w:t>
      </w:r>
      <w:r w:rsidRPr="00AB6090">
        <w:t>.  Les prescriptions du paragraphe suivant (§ 5.4.1) doivent être communiquées à l’organisateur, qui a la responsabilité de les respecter et de les faire respecter par les éventuels exploitants de stands de boisson et nourriture qui participent à la festivité qu’il organise.</w:t>
      </w:r>
    </w:p>
    <w:p w14:paraId="47CC7759"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4801918C" w14:textId="77777777" w:rsidR="004A0FA4" w:rsidRPr="00AB6090" w:rsidRDefault="004A0FA4" w:rsidP="0063032F">
      <w:pPr>
        <w:jc w:val="both"/>
        <w:rPr>
          <w:b/>
        </w:rPr>
      </w:pPr>
      <w:r w:rsidRPr="00AB6090">
        <w:rPr>
          <w:b/>
        </w:rPr>
        <w:t xml:space="preserve">Disposition des échoppes et </w:t>
      </w:r>
      <w:proofErr w:type="spellStart"/>
      <w:r w:rsidRPr="00AB6090">
        <w:rPr>
          <w:b/>
        </w:rPr>
        <w:t>food</w:t>
      </w:r>
      <w:proofErr w:type="spellEnd"/>
      <w:r w:rsidRPr="00AB6090">
        <w:rPr>
          <w:b/>
        </w:rPr>
        <w:t xml:space="preserve"> trucks </w:t>
      </w:r>
    </w:p>
    <w:p w14:paraId="7F3979AD" w14:textId="77777777" w:rsidR="004A0FA4" w:rsidRPr="00AB6090" w:rsidRDefault="004A0FA4" w:rsidP="0063032F">
      <w:pPr>
        <w:pStyle w:val="Paragraphedeliste"/>
        <w:numPr>
          <w:ilvl w:val="0"/>
          <w:numId w:val="25"/>
        </w:numPr>
        <w:jc w:val="both"/>
      </w:pPr>
      <w:r w:rsidRPr="00AB6090">
        <w:t xml:space="preserve">Pour une rangée d’installations provisoires, l’une à la suite de l’autre, au moins un passage d’une largeur de 1.20 m, libre de tout objet, doit être réservé tous les 20 m.  </w:t>
      </w:r>
    </w:p>
    <w:p w14:paraId="5AFDEF89" w14:textId="77777777" w:rsidR="004A0FA4" w:rsidRPr="00AB6090" w:rsidRDefault="004A0FA4" w:rsidP="0063032F">
      <w:pPr>
        <w:pStyle w:val="Paragraphedeliste"/>
        <w:numPr>
          <w:ilvl w:val="0"/>
          <w:numId w:val="25"/>
        </w:numPr>
        <w:jc w:val="both"/>
      </w:pPr>
      <w:r w:rsidRPr="00AB6090">
        <w:t xml:space="preserve">En cas de cuisson au gaz, l’emplacement choisi pour l’échoppe ou le </w:t>
      </w:r>
      <w:proofErr w:type="spellStart"/>
      <w:r w:rsidRPr="00AB6090">
        <w:t>food</w:t>
      </w:r>
      <w:proofErr w:type="spellEnd"/>
      <w:r w:rsidRPr="00AB6090">
        <w:t xml:space="preserve"> truck ne se situera pas en contre-bas ni dans une cuvette ou cour basse, ni à proximité d’un regard d’égout.  </w:t>
      </w:r>
    </w:p>
    <w:p w14:paraId="5ADB4731" w14:textId="77777777" w:rsidR="004A0FA4" w:rsidRPr="00AB6090" w:rsidRDefault="004A0FA4" w:rsidP="0063032F">
      <w:pPr>
        <w:jc w:val="both"/>
        <w:rPr>
          <w:b/>
        </w:rPr>
      </w:pPr>
      <w:r w:rsidRPr="00AB6090">
        <w:rPr>
          <w:b/>
        </w:rPr>
        <w:t xml:space="preserve">En cas d’utilisation d’un véhicule aménagé pour la cuisson des aliments : </w:t>
      </w:r>
    </w:p>
    <w:p w14:paraId="2946F646" w14:textId="77777777" w:rsidR="004A0FA4" w:rsidRPr="00AB6090" w:rsidRDefault="004A0FA4" w:rsidP="0063032F">
      <w:pPr>
        <w:pStyle w:val="Paragraphedeliste"/>
        <w:numPr>
          <w:ilvl w:val="0"/>
          <w:numId w:val="26"/>
        </w:numPr>
        <w:jc w:val="both"/>
      </w:pPr>
      <w:r w:rsidRPr="00AB6090">
        <w:t xml:space="preserve">Si l’énergie de cuisson est le gaz, il faut que le véhicule utilisé ait été vérifié par un SECT (service externe de contrôle technique), pour l’étanchéité de l’installation et le respect des normes en vigueur (notamment NBN D 51-006). Un rapport de contrôle doit pouvoir être présenté. </w:t>
      </w:r>
    </w:p>
    <w:p w14:paraId="22629C3F" w14:textId="77777777" w:rsidR="004A0FA4" w:rsidRPr="00AB6090" w:rsidRDefault="004A0FA4" w:rsidP="0063032F">
      <w:pPr>
        <w:pStyle w:val="Paragraphedeliste"/>
        <w:numPr>
          <w:ilvl w:val="0"/>
          <w:numId w:val="26"/>
        </w:numPr>
        <w:jc w:val="both"/>
      </w:pPr>
      <w:r w:rsidRPr="00AB6090">
        <w:t xml:space="preserve">Il faut disposer d’un extincteur à 6 kg de poudre dans le véhicule, placé en un endroit directement accessible. Cet extincteur doit avoir été contrôlé depuis moins d’un an. </w:t>
      </w:r>
    </w:p>
    <w:p w14:paraId="3C10D4EF" w14:textId="77777777" w:rsidR="004A0FA4" w:rsidRPr="00AB6090" w:rsidRDefault="004A0FA4" w:rsidP="0063032F">
      <w:pPr>
        <w:pStyle w:val="Paragraphedeliste"/>
        <w:numPr>
          <w:ilvl w:val="0"/>
          <w:numId w:val="26"/>
        </w:numPr>
        <w:jc w:val="both"/>
      </w:pPr>
      <w:r w:rsidRPr="00AB6090">
        <w:t xml:space="preserve">Les bouteilles de gaz sont préférentiellement placées à l’extérieur du véhicule, dans un abri ventilé et fermant à clé (pour éviter le vandalisme). </w:t>
      </w:r>
    </w:p>
    <w:p w14:paraId="6CC5A991" w14:textId="77777777" w:rsidR="004A0FA4" w:rsidRPr="00AB6090" w:rsidRDefault="004A0FA4" w:rsidP="0063032F">
      <w:pPr>
        <w:pStyle w:val="Paragraphedeliste"/>
        <w:numPr>
          <w:ilvl w:val="0"/>
          <w:numId w:val="26"/>
        </w:numPr>
        <w:jc w:val="both"/>
      </w:pPr>
      <w:r w:rsidRPr="00AB6090">
        <w:t xml:space="preserve">Par dérogation au principe précédent, si les bouteilles sont placées à l’intérieur du véhicule, elles doivent disposer d’un espace spécialement prévu à cet effet et pourvu d'une ventilation basse. </w:t>
      </w:r>
    </w:p>
    <w:p w14:paraId="76070A39" w14:textId="77777777" w:rsidR="004A0FA4" w:rsidRPr="00AB6090" w:rsidRDefault="004A0FA4" w:rsidP="0063032F">
      <w:pPr>
        <w:pStyle w:val="Paragraphedeliste"/>
        <w:numPr>
          <w:ilvl w:val="0"/>
          <w:numId w:val="26"/>
        </w:numPr>
        <w:jc w:val="both"/>
      </w:pPr>
      <w:r w:rsidRPr="00AB6090">
        <w:t xml:space="preserve">Les bouteilles doivent être placées verticalement. </w:t>
      </w:r>
    </w:p>
    <w:p w14:paraId="072011F0" w14:textId="77777777" w:rsidR="004A0FA4" w:rsidRPr="00AB6090" w:rsidRDefault="004A0FA4" w:rsidP="0063032F">
      <w:pPr>
        <w:pStyle w:val="Paragraphedeliste"/>
        <w:numPr>
          <w:ilvl w:val="0"/>
          <w:numId w:val="26"/>
        </w:numPr>
        <w:jc w:val="both"/>
      </w:pPr>
      <w:r w:rsidRPr="00AB6090">
        <w:t xml:space="preserve">La longueur maximale des flexibles utilisés sera de : 0,5 m max. entre bouteille et installation fixe, 2 m max. pour le raccordement de l'appareil de cuisson. </w:t>
      </w:r>
    </w:p>
    <w:p w14:paraId="745CE6F2" w14:textId="77777777" w:rsidR="004A0FA4" w:rsidRPr="00AB6090" w:rsidRDefault="004A0FA4" w:rsidP="0063032F">
      <w:pPr>
        <w:pStyle w:val="Paragraphedeliste"/>
        <w:numPr>
          <w:ilvl w:val="0"/>
          <w:numId w:val="26"/>
        </w:numPr>
        <w:jc w:val="both"/>
      </w:pPr>
      <w:r w:rsidRPr="00AB6090">
        <w:t xml:space="preserve">Les flexibles doivent être fixés sur les tétines à l'aide de colliers de serrage qui seront bien serrés. Le diamètre intérieur du flexible doit être adapté aux tétines et le collier de serrage au diamètre extérieur du flexible. </w:t>
      </w:r>
    </w:p>
    <w:p w14:paraId="2B14CC0C" w14:textId="77777777" w:rsidR="004A0FA4" w:rsidRPr="00AB6090" w:rsidRDefault="004A0FA4" w:rsidP="0063032F">
      <w:pPr>
        <w:pStyle w:val="Paragraphedeliste"/>
        <w:numPr>
          <w:ilvl w:val="0"/>
          <w:numId w:val="26"/>
        </w:numPr>
        <w:jc w:val="both"/>
      </w:pPr>
      <w:r w:rsidRPr="00AB6090">
        <w:t>Il y a lieu de veiller au bon état des flexibles. Dès l'apparition d'une fissure, d'une boursouflure ou d'un gonflement, il faut impérativement pourvoir à leur remplacement. Les flexibles ne peuvent pas être plus vieux que 2 ans.</w:t>
      </w:r>
    </w:p>
    <w:p w14:paraId="57E4C532" w14:textId="77777777" w:rsidR="004A0FA4" w:rsidRPr="00AB6090" w:rsidRDefault="004A0FA4" w:rsidP="0063032F">
      <w:pPr>
        <w:pStyle w:val="Paragraphedeliste"/>
        <w:numPr>
          <w:ilvl w:val="0"/>
          <w:numId w:val="26"/>
        </w:numPr>
        <w:jc w:val="both"/>
      </w:pPr>
      <w:r w:rsidRPr="00AB6090">
        <w:t>Le détendeur doit être adapté au gaz utilisé et utilisé conformément aux prescriptions du fabricant.</w:t>
      </w:r>
    </w:p>
    <w:p w14:paraId="7E6DEB06" w14:textId="77777777" w:rsidR="004A0FA4" w:rsidRPr="00AB6090" w:rsidRDefault="004A0FA4" w:rsidP="0063032F">
      <w:pPr>
        <w:pStyle w:val="Paragraphedeliste"/>
        <w:numPr>
          <w:ilvl w:val="0"/>
          <w:numId w:val="26"/>
        </w:numPr>
        <w:jc w:val="both"/>
      </w:pPr>
      <w:r w:rsidRPr="00AB6090">
        <w:t>En cas d’utilisation d’un bac pour friture chauffé au gaz, il est fortement conseillé (voire imposé dans certains règlements communaux) de disposer d’une installation fixe d’extinction, à commande automatique ou manuelle.</w:t>
      </w:r>
    </w:p>
    <w:p w14:paraId="59DE398B" w14:textId="77777777" w:rsidR="004A0FA4" w:rsidRPr="00AB6090" w:rsidRDefault="004A0FA4" w:rsidP="0063032F">
      <w:pPr>
        <w:jc w:val="both"/>
        <w:rPr>
          <w:b/>
        </w:rPr>
      </w:pPr>
      <w:bookmarkStart w:id="100" w:name="_Toc55899678"/>
      <w:bookmarkStart w:id="101" w:name="_Toc55900422"/>
      <w:r w:rsidRPr="00FB461E">
        <w:rPr>
          <w:rStyle w:val="Titre4Car"/>
        </w:rPr>
        <w:t>En cas de cuisson au gaz : (en dehors des véhicules aménagés)</w:t>
      </w:r>
      <w:bookmarkEnd w:id="100"/>
      <w:bookmarkEnd w:id="101"/>
      <w:r w:rsidRPr="00AB6090">
        <w:rPr>
          <w:b/>
        </w:rPr>
        <w:t> :</w:t>
      </w:r>
    </w:p>
    <w:p w14:paraId="3D5266C8" w14:textId="77777777" w:rsidR="004A0FA4" w:rsidRPr="00AB6090" w:rsidRDefault="004A0FA4" w:rsidP="0063032F">
      <w:pPr>
        <w:pStyle w:val="Paragraphedeliste"/>
        <w:numPr>
          <w:ilvl w:val="0"/>
          <w:numId w:val="26"/>
        </w:numPr>
        <w:jc w:val="both"/>
      </w:pPr>
      <w:r w:rsidRPr="00AB6090">
        <w:lastRenderedPageBreak/>
        <w:t xml:space="preserve"> Les bouteilles de gaz sont stockées dans un endroit ventilé et sont fixées. </w:t>
      </w:r>
    </w:p>
    <w:p w14:paraId="1D3DE5F8" w14:textId="77777777" w:rsidR="004A0FA4" w:rsidRPr="00AB6090" w:rsidRDefault="004A0FA4" w:rsidP="0063032F">
      <w:pPr>
        <w:pStyle w:val="Paragraphedeliste"/>
        <w:numPr>
          <w:ilvl w:val="0"/>
          <w:numId w:val="26"/>
        </w:numPr>
        <w:jc w:val="both"/>
      </w:pPr>
      <w:r w:rsidRPr="00AB6090">
        <w:t xml:space="preserve"> Les tuyaux souples ont moins de 2 mètres, sont sans défaut, et sont du type gaz. </w:t>
      </w:r>
    </w:p>
    <w:p w14:paraId="6AAC105E" w14:textId="77777777" w:rsidR="004A0FA4" w:rsidRPr="00AB6090" w:rsidRDefault="004A0FA4" w:rsidP="0063032F">
      <w:pPr>
        <w:pStyle w:val="Paragraphedeliste"/>
        <w:numPr>
          <w:ilvl w:val="0"/>
          <w:numId w:val="26"/>
        </w:numPr>
        <w:jc w:val="both"/>
      </w:pPr>
      <w:r w:rsidRPr="00AB6090">
        <w:t xml:space="preserve"> Les tuyaux souples sont marqués par le label CE et ont moins de 2 ans OU ils répondent à la norme EN14800. </w:t>
      </w:r>
    </w:p>
    <w:p w14:paraId="65FCC59B" w14:textId="77777777" w:rsidR="004A0FA4" w:rsidRPr="00AB6090" w:rsidRDefault="004A0FA4" w:rsidP="0063032F">
      <w:pPr>
        <w:pStyle w:val="Paragraphedeliste"/>
        <w:numPr>
          <w:ilvl w:val="0"/>
          <w:numId w:val="26"/>
        </w:numPr>
        <w:jc w:val="both"/>
      </w:pPr>
      <w:r w:rsidRPr="00AB6090">
        <w:t xml:space="preserve"> Les tuyaux sont fixés à l’aide de colliers de serrage. </w:t>
      </w:r>
    </w:p>
    <w:p w14:paraId="2D35B4E2" w14:textId="77777777" w:rsidR="004A0FA4" w:rsidRPr="00AB6090" w:rsidRDefault="004A0FA4" w:rsidP="0063032F">
      <w:pPr>
        <w:pStyle w:val="Paragraphedeliste"/>
        <w:numPr>
          <w:ilvl w:val="0"/>
          <w:numId w:val="26"/>
        </w:numPr>
        <w:jc w:val="both"/>
      </w:pPr>
      <w:r w:rsidRPr="00AB6090">
        <w:t>Vous disposez d’un gant anti-feu pour le cas échéant pouvoir fermer la bonbonne.</w:t>
      </w:r>
    </w:p>
    <w:p w14:paraId="00691953" w14:textId="77777777" w:rsidR="004A0FA4" w:rsidRPr="00AB6090" w:rsidRDefault="004A0FA4" w:rsidP="0063032F">
      <w:pPr>
        <w:pStyle w:val="Paragraphedeliste"/>
        <w:numPr>
          <w:ilvl w:val="0"/>
          <w:numId w:val="26"/>
        </w:numPr>
        <w:jc w:val="both"/>
      </w:pPr>
      <w:r w:rsidRPr="00AB6090">
        <w:t xml:space="preserve">Vous disposez d’un extincteur à poudre d’une capacité min. de 6 kg (on n’éteint pas un feu de gaz mais l’extincteur peut servir pour une flamme qui s’est propagée à un autre élément combustible) - </w:t>
      </w:r>
      <w:r w:rsidRPr="00AB6090">
        <w:rPr>
          <w:rFonts w:cs="Arial"/>
          <w:color w:val="3D2407" w:themeColor="accent5" w:themeShade="80"/>
          <w:sz w:val="14"/>
          <w:szCs w:val="21"/>
          <w:bdr w:val="none" w:sz="0" w:space="0" w:color="auto" w:frame="1"/>
        </w:rPr>
        <w:t>contrôlé il y a moins d’un an</w:t>
      </w:r>
      <w:r w:rsidRPr="00AB6090">
        <w:t>.</w:t>
      </w:r>
    </w:p>
    <w:p w14:paraId="5AFD22BF" w14:textId="77777777" w:rsidR="004A0FA4" w:rsidRPr="00AB6090" w:rsidRDefault="004A0FA4" w:rsidP="0063032F">
      <w:pPr>
        <w:pStyle w:val="Paragraphedeliste"/>
        <w:numPr>
          <w:ilvl w:val="0"/>
          <w:numId w:val="26"/>
        </w:numPr>
        <w:jc w:val="both"/>
      </w:pPr>
      <w:r w:rsidRPr="00AB6090">
        <w:t>Les bouteilles vides sont déplacées immédiatement et recouvertes de leur coiffe de protection. Aucun stockage de bonbonnes pleines ou vides n’est toléré dans les voitures sises sur le site de la manifestation ou dans les sous-sols d’immeubles ou de lieux accessibles au public.</w:t>
      </w:r>
    </w:p>
    <w:p w14:paraId="3C2AEFED" w14:textId="77777777" w:rsidR="004A0FA4" w:rsidRPr="00AB6090" w:rsidRDefault="004A0FA4" w:rsidP="0063032F">
      <w:pPr>
        <w:pStyle w:val="Paragraphedeliste"/>
        <w:numPr>
          <w:ilvl w:val="0"/>
          <w:numId w:val="26"/>
        </w:numPr>
        <w:jc w:val="both"/>
      </w:pPr>
      <w:r w:rsidRPr="00AB6090">
        <w:t>Elles seront en bon état général (absence de déformations et de corrosion).</w:t>
      </w:r>
    </w:p>
    <w:p w14:paraId="56432698" w14:textId="77777777" w:rsidR="004A0FA4" w:rsidRPr="00AB6090" w:rsidRDefault="004A0FA4" w:rsidP="0063032F">
      <w:pPr>
        <w:pStyle w:val="Paragraphedeliste"/>
        <w:numPr>
          <w:ilvl w:val="0"/>
          <w:numId w:val="26"/>
        </w:numPr>
        <w:jc w:val="both"/>
      </w:pPr>
      <w:r w:rsidRPr="00AB6090">
        <w:t xml:space="preserve"> Leur nombre sera limité au strict minimum pour une utilisation journalière </w:t>
      </w:r>
    </w:p>
    <w:p w14:paraId="692C8AB4" w14:textId="77777777" w:rsidR="004A0FA4" w:rsidRPr="00AB6090" w:rsidRDefault="004A0FA4" w:rsidP="0063032F">
      <w:pPr>
        <w:pStyle w:val="Paragraphedeliste"/>
        <w:numPr>
          <w:ilvl w:val="0"/>
          <w:numId w:val="26"/>
        </w:numPr>
        <w:jc w:val="both"/>
      </w:pPr>
      <w:r w:rsidRPr="00AB6090">
        <w:t xml:space="preserve"> Elles ne seront pas exposées en plein soleil. Elles seront entourées d’une protection pare-flammes afin d’éviter la propagation du feu à la friture et aux stands voisins (abri incombustible).</w:t>
      </w:r>
    </w:p>
    <w:p w14:paraId="6CD21466" w14:textId="77777777" w:rsidR="004A0FA4" w:rsidRPr="00AB6090" w:rsidRDefault="004A0FA4" w:rsidP="0063032F">
      <w:pPr>
        <w:pStyle w:val="Paragraphedeliste"/>
        <w:numPr>
          <w:ilvl w:val="0"/>
          <w:numId w:val="26"/>
        </w:numPr>
        <w:jc w:val="both"/>
      </w:pPr>
      <w:r w:rsidRPr="00AB6090">
        <w:t xml:space="preserve"> Le robinet des bouteilles non utilisées (vides ou pleines) sera bien fermé et recouvert du bouchon protecteur prévu à cet effet.</w:t>
      </w:r>
    </w:p>
    <w:p w14:paraId="5265744E" w14:textId="77777777" w:rsidR="004A0FA4" w:rsidRPr="00AB6090" w:rsidRDefault="004A0FA4" w:rsidP="0063032F">
      <w:pPr>
        <w:pStyle w:val="Paragraphedeliste"/>
        <w:numPr>
          <w:ilvl w:val="0"/>
          <w:numId w:val="26"/>
        </w:numPr>
        <w:jc w:val="both"/>
      </w:pPr>
      <w:r w:rsidRPr="00AB6090">
        <w:t xml:space="preserve"> Le robinet des bouteilles en service restera accessible de manière à pouvoir être fermé en fin de période d’utilisation normale et en cas de situation d’urgence.</w:t>
      </w:r>
    </w:p>
    <w:p w14:paraId="192BB9DE" w14:textId="77777777" w:rsidR="004A0FA4" w:rsidRPr="00AB6090" w:rsidRDefault="004A0FA4" w:rsidP="0063032F">
      <w:pPr>
        <w:pStyle w:val="Paragraphedeliste"/>
        <w:numPr>
          <w:ilvl w:val="0"/>
          <w:numId w:val="26"/>
        </w:numPr>
        <w:jc w:val="both"/>
      </w:pPr>
      <w:r w:rsidRPr="00AB6090">
        <w:t xml:space="preserve"> Chaque appareil utilisant le gaz sera équipé d’une vanne d’arrêt facilement accessible</w:t>
      </w:r>
    </w:p>
    <w:p w14:paraId="3D8631D8" w14:textId="77777777" w:rsidR="004A0FA4" w:rsidRPr="00AB6090" w:rsidRDefault="004A0FA4" w:rsidP="0063032F">
      <w:pPr>
        <w:pStyle w:val="Paragraphedeliste"/>
        <w:numPr>
          <w:ilvl w:val="0"/>
          <w:numId w:val="26"/>
        </w:numPr>
        <w:jc w:val="both"/>
      </w:pPr>
      <w:r w:rsidRPr="00AB6090">
        <w:t xml:space="preserve"> Les poignées des vannes absentes ou en mauvais état seront remplacées</w:t>
      </w:r>
    </w:p>
    <w:p w14:paraId="60330E26" w14:textId="77777777" w:rsidR="004A0FA4" w:rsidRPr="00AB6090" w:rsidRDefault="004A0FA4" w:rsidP="0063032F">
      <w:pPr>
        <w:pStyle w:val="Paragraphedeliste"/>
        <w:numPr>
          <w:ilvl w:val="0"/>
          <w:numId w:val="26"/>
        </w:numPr>
        <w:jc w:val="both"/>
      </w:pPr>
      <w:r w:rsidRPr="00AB6090">
        <w:t xml:space="preserve"> Chaque appareil seront placés sur un support bien stable, à l’écart de matières inflammables</w:t>
      </w:r>
    </w:p>
    <w:p w14:paraId="21B2AA1D" w14:textId="77777777" w:rsidR="004A0FA4" w:rsidRPr="00AB6090" w:rsidRDefault="004A0FA4" w:rsidP="0063032F">
      <w:pPr>
        <w:pStyle w:val="Paragraphedeliste"/>
        <w:numPr>
          <w:ilvl w:val="0"/>
          <w:numId w:val="26"/>
        </w:numPr>
        <w:jc w:val="both"/>
      </w:pPr>
      <w:r w:rsidRPr="00AB6090">
        <w:t>Le stock sera constitué, en bon père de famille, de telle manière à répondre aux besoins essentiels de la consommation prévue sans dépasser un volume total de 300 litres</w:t>
      </w:r>
    </w:p>
    <w:p w14:paraId="5E34D9FF" w14:textId="77777777" w:rsidR="004A0FA4" w:rsidRPr="00AB6090" w:rsidRDefault="004A0FA4" w:rsidP="0063032F">
      <w:pPr>
        <w:pStyle w:val="Paragraphedeliste"/>
        <w:numPr>
          <w:ilvl w:val="0"/>
          <w:numId w:val="26"/>
        </w:numPr>
        <w:jc w:val="both"/>
      </w:pPr>
      <w:r w:rsidRPr="00AB6090">
        <w:t>Pour un stockage d’un volume supérieur à 300litres, l’organisateur sera soumis à d’autres réglementations reprises dans le tableau suivant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3294"/>
        <w:gridCol w:w="3268"/>
      </w:tblGrid>
      <w:tr w:rsidR="004A0FA4" w:rsidRPr="00AB6090" w14:paraId="76BA4F2F" w14:textId="77777777" w:rsidTr="004A0FA4">
        <w:tc>
          <w:tcPr>
            <w:tcW w:w="3186" w:type="dxa"/>
            <w:tcBorders>
              <w:top w:val="single" w:sz="4" w:space="0" w:color="auto"/>
              <w:left w:val="single" w:sz="4" w:space="0" w:color="auto"/>
              <w:bottom w:val="single" w:sz="4" w:space="0" w:color="auto"/>
              <w:right w:val="single" w:sz="4" w:space="0" w:color="auto"/>
            </w:tcBorders>
            <w:shd w:val="clear" w:color="auto" w:fill="BFBFBF"/>
            <w:hideMark/>
          </w:tcPr>
          <w:p w14:paraId="2C9C0612" w14:textId="77777777" w:rsidR="004A0FA4" w:rsidRPr="00AB6090" w:rsidRDefault="004A0FA4" w:rsidP="0063032F">
            <w:pPr>
              <w:spacing w:line="256" w:lineRule="auto"/>
              <w:jc w:val="both"/>
              <w:rPr>
                <w:rFonts w:cs="Arial"/>
                <w:color w:val="000000"/>
                <w:sz w:val="14"/>
                <w:szCs w:val="21"/>
                <w:bdr w:val="none" w:sz="0" w:space="0" w:color="auto" w:frame="1"/>
                <w:lang w:eastAsia="en-US"/>
              </w:rPr>
            </w:pPr>
            <w:r w:rsidRPr="00AB6090">
              <w:rPr>
                <w:rFonts w:cs="Arial"/>
                <w:color w:val="000000"/>
                <w:sz w:val="14"/>
                <w:szCs w:val="21"/>
                <w:bdr w:val="none" w:sz="0" w:space="0" w:color="auto" w:frame="1"/>
                <w:lang w:eastAsia="en-US"/>
              </w:rPr>
              <w:t>Volume total</w:t>
            </w:r>
          </w:p>
        </w:tc>
        <w:tc>
          <w:tcPr>
            <w:tcW w:w="3294" w:type="dxa"/>
            <w:tcBorders>
              <w:top w:val="single" w:sz="4" w:space="0" w:color="auto"/>
              <w:left w:val="single" w:sz="4" w:space="0" w:color="auto"/>
              <w:bottom w:val="single" w:sz="4" w:space="0" w:color="auto"/>
              <w:right w:val="single" w:sz="4" w:space="0" w:color="auto"/>
            </w:tcBorders>
            <w:shd w:val="clear" w:color="auto" w:fill="BFBFBF"/>
            <w:hideMark/>
          </w:tcPr>
          <w:p w14:paraId="78A1B2BB" w14:textId="77777777" w:rsidR="004A0FA4" w:rsidRPr="00AB6090" w:rsidRDefault="004A0FA4" w:rsidP="0063032F">
            <w:pPr>
              <w:spacing w:line="256" w:lineRule="auto"/>
              <w:jc w:val="both"/>
              <w:rPr>
                <w:rFonts w:cs="Arial"/>
                <w:color w:val="000000"/>
                <w:sz w:val="14"/>
                <w:szCs w:val="21"/>
                <w:bdr w:val="none" w:sz="0" w:space="0" w:color="auto" w:frame="1"/>
                <w:lang w:eastAsia="en-US"/>
              </w:rPr>
            </w:pPr>
            <w:r w:rsidRPr="00AB6090">
              <w:rPr>
                <w:rFonts w:cs="Arial"/>
                <w:color w:val="000000"/>
                <w:sz w:val="14"/>
                <w:szCs w:val="21"/>
                <w:bdr w:val="none" w:sz="0" w:space="0" w:color="auto" w:frame="1"/>
                <w:lang w:eastAsia="en-US"/>
              </w:rPr>
              <w:t>Contenant</w:t>
            </w:r>
          </w:p>
        </w:tc>
        <w:tc>
          <w:tcPr>
            <w:tcW w:w="3268" w:type="dxa"/>
            <w:tcBorders>
              <w:top w:val="single" w:sz="4" w:space="0" w:color="auto"/>
              <w:left w:val="single" w:sz="4" w:space="0" w:color="auto"/>
              <w:bottom w:val="single" w:sz="4" w:space="0" w:color="auto"/>
              <w:right w:val="single" w:sz="4" w:space="0" w:color="auto"/>
            </w:tcBorders>
            <w:shd w:val="clear" w:color="auto" w:fill="BFBFBF"/>
            <w:hideMark/>
          </w:tcPr>
          <w:p w14:paraId="6E52BA19" w14:textId="77777777" w:rsidR="004A0FA4" w:rsidRPr="00AB6090" w:rsidRDefault="004A0FA4" w:rsidP="0063032F">
            <w:pPr>
              <w:spacing w:line="256" w:lineRule="auto"/>
              <w:jc w:val="both"/>
              <w:rPr>
                <w:rFonts w:cs="Arial"/>
                <w:color w:val="000000"/>
                <w:sz w:val="14"/>
                <w:szCs w:val="21"/>
                <w:bdr w:val="none" w:sz="0" w:space="0" w:color="auto" w:frame="1"/>
                <w:lang w:eastAsia="en-US"/>
              </w:rPr>
            </w:pPr>
            <w:r w:rsidRPr="00AB6090">
              <w:rPr>
                <w:rFonts w:cs="Arial"/>
                <w:color w:val="000000"/>
                <w:sz w:val="14"/>
                <w:szCs w:val="21"/>
                <w:bdr w:val="none" w:sz="0" w:space="0" w:color="auto" w:frame="1"/>
                <w:lang w:eastAsia="en-US"/>
              </w:rPr>
              <w:t>Règlementation applicable</w:t>
            </w:r>
          </w:p>
        </w:tc>
      </w:tr>
      <w:tr w:rsidR="004A0FA4" w:rsidRPr="00AB6090" w14:paraId="7992789B" w14:textId="77777777" w:rsidTr="004A0FA4">
        <w:tc>
          <w:tcPr>
            <w:tcW w:w="3186" w:type="dxa"/>
            <w:tcBorders>
              <w:top w:val="single" w:sz="4" w:space="0" w:color="auto"/>
              <w:left w:val="single" w:sz="4" w:space="0" w:color="auto"/>
              <w:bottom w:val="single" w:sz="4" w:space="0" w:color="auto"/>
              <w:right w:val="single" w:sz="4" w:space="0" w:color="auto"/>
            </w:tcBorders>
            <w:hideMark/>
          </w:tcPr>
          <w:p w14:paraId="647CB2E3"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300 litres &lt; volume total ≤700</w:t>
            </w:r>
          </w:p>
          <w:p w14:paraId="1EE78F33"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litres</w:t>
            </w:r>
          </w:p>
        </w:tc>
        <w:tc>
          <w:tcPr>
            <w:tcW w:w="3294" w:type="dxa"/>
            <w:tcBorders>
              <w:top w:val="single" w:sz="4" w:space="0" w:color="auto"/>
              <w:left w:val="single" w:sz="4" w:space="0" w:color="auto"/>
              <w:bottom w:val="single" w:sz="4" w:space="0" w:color="auto"/>
              <w:right w:val="single" w:sz="4" w:space="0" w:color="auto"/>
            </w:tcBorders>
          </w:tcPr>
          <w:p w14:paraId="346D5E1C"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Récipients mobiles (bouteilles)</w:t>
            </w:r>
          </w:p>
          <w:p w14:paraId="62C0360E"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p>
        </w:tc>
        <w:tc>
          <w:tcPr>
            <w:tcW w:w="3268" w:type="dxa"/>
            <w:tcBorders>
              <w:top w:val="single" w:sz="4" w:space="0" w:color="auto"/>
              <w:left w:val="single" w:sz="4" w:space="0" w:color="auto"/>
              <w:bottom w:val="single" w:sz="4" w:space="0" w:color="auto"/>
              <w:right w:val="single" w:sz="4" w:space="0" w:color="auto"/>
            </w:tcBorders>
          </w:tcPr>
          <w:p w14:paraId="02E6A7C8"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Arrêté du Gouvernement Wallon du19 mai 2005 déterminant les conditions intégrales relatives aux dépôts de gaz de pétrole liquéfié en récipients mobiles</w:t>
            </w:r>
          </w:p>
          <w:p w14:paraId="65BF5E53"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p>
        </w:tc>
      </w:tr>
      <w:tr w:rsidR="004A0FA4" w:rsidRPr="00AB6090" w14:paraId="7A405B44" w14:textId="77777777" w:rsidTr="004A0FA4">
        <w:tc>
          <w:tcPr>
            <w:tcW w:w="3186" w:type="dxa"/>
            <w:tcBorders>
              <w:top w:val="single" w:sz="4" w:space="0" w:color="auto"/>
              <w:left w:val="single" w:sz="4" w:space="0" w:color="auto"/>
              <w:bottom w:val="single" w:sz="4" w:space="0" w:color="auto"/>
              <w:right w:val="single" w:sz="4" w:space="0" w:color="auto"/>
            </w:tcBorders>
            <w:hideMark/>
          </w:tcPr>
          <w:p w14:paraId="0329DD14"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Volume total ≤ 3000 litres</w:t>
            </w:r>
          </w:p>
        </w:tc>
        <w:tc>
          <w:tcPr>
            <w:tcW w:w="3294" w:type="dxa"/>
            <w:tcBorders>
              <w:top w:val="single" w:sz="4" w:space="0" w:color="auto"/>
              <w:left w:val="single" w:sz="4" w:space="0" w:color="auto"/>
              <w:bottom w:val="single" w:sz="4" w:space="0" w:color="auto"/>
              <w:right w:val="single" w:sz="4" w:space="0" w:color="auto"/>
            </w:tcBorders>
          </w:tcPr>
          <w:p w14:paraId="78130B06" w14:textId="77777777" w:rsidR="004A0FA4" w:rsidRPr="00AB6090" w:rsidRDefault="004A0FA4" w:rsidP="0063032F">
            <w:pPr>
              <w:spacing w:line="256" w:lineRule="auto"/>
              <w:ind w:left="708"/>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Réservoirs aériens</w:t>
            </w:r>
          </w:p>
          <w:p w14:paraId="0D9ADF52"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p>
        </w:tc>
        <w:tc>
          <w:tcPr>
            <w:tcW w:w="3268" w:type="dxa"/>
            <w:tcBorders>
              <w:top w:val="single" w:sz="4" w:space="0" w:color="auto"/>
              <w:left w:val="single" w:sz="4" w:space="0" w:color="auto"/>
              <w:bottom w:val="nil"/>
              <w:right w:val="single" w:sz="4" w:space="0" w:color="auto"/>
            </w:tcBorders>
          </w:tcPr>
          <w:p w14:paraId="0975F3D5"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p>
          <w:p w14:paraId="0D17D7D9"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Arrêté du Gouvernement Wallon du 7 juillet 2005 déterminant les conditions intégrales relatives aux dépôts de gaz de pétrole liquéfié « en vrac »</w:t>
            </w:r>
          </w:p>
          <w:p w14:paraId="66C04C6A"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p>
        </w:tc>
      </w:tr>
      <w:tr w:rsidR="004A0FA4" w:rsidRPr="00AB6090" w14:paraId="52CF77A3" w14:textId="77777777" w:rsidTr="004A0FA4">
        <w:tc>
          <w:tcPr>
            <w:tcW w:w="3186" w:type="dxa"/>
            <w:tcBorders>
              <w:top w:val="single" w:sz="4" w:space="0" w:color="auto"/>
              <w:left w:val="single" w:sz="4" w:space="0" w:color="auto"/>
              <w:bottom w:val="single" w:sz="4" w:space="0" w:color="auto"/>
              <w:right w:val="single" w:sz="4" w:space="0" w:color="auto"/>
            </w:tcBorders>
            <w:hideMark/>
          </w:tcPr>
          <w:p w14:paraId="11FA3AF7"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Volume total ≤ 5000 litres</w:t>
            </w:r>
          </w:p>
        </w:tc>
        <w:tc>
          <w:tcPr>
            <w:tcW w:w="3294" w:type="dxa"/>
            <w:tcBorders>
              <w:top w:val="single" w:sz="4" w:space="0" w:color="auto"/>
              <w:left w:val="single" w:sz="4" w:space="0" w:color="auto"/>
              <w:bottom w:val="single" w:sz="4" w:space="0" w:color="auto"/>
              <w:right w:val="single" w:sz="4" w:space="0" w:color="auto"/>
            </w:tcBorders>
            <w:hideMark/>
          </w:tcPr>
          <w:p w14:paraId="47B4C190" w14:textId="77777777" w:rsidR="004A0FA4" w:rsidRPr="00AB6090" w:rsidRDefault="004A0FA4" w:rsidP="0063032F">
            <w:pPr>
              <w:spacing w:line="256" w:lineRule="auto"/>
              <w:jc w:val="both"/>
              <w:rPr>
                <w:rFonts w:cs="Arial"/>
                <w:color w:val="3D2407" w:themeColor="accent5" w:themeShade="80"/>
                <w:sz w:val="14"/>
                <w:szCs w:val="21"/>
                <w:bdr w:val="none" w:sz="0" w:space="0" w:color="auto" w:frame="1"/>
                <w:lang w:eastAsia="en-US"/>
              </w:rPr>
            </w:pPr>
            <w:r w:rsidRPr="00AB6090">
              <w:rPr>
                <w:rFonts w:cs="Arial"/>
                <w:color w:val="3D2407" w:themeColor="accent5" w:themeShade="80"/>
                <w:sz w:val="14"/>
                <w:szCs w:val="21"/>
                <w:bdr w:val="none" w:sz="0" w:space="0" w:color="auto" w:frame="1"/>
                <w:lang w:eastAsia="en-US"/>
              </w:rPr>
              <w:t>Réservoirs enterrés</w:t>
            </w:r>
          </w:p>
        </w:tc>
        <w:tc>
          <w:tcPr>
            <w:tcW w:w="3268" w:type="dxa"/>
            <w:tcBorders>
              <w:top w:val="nil"/>
              <w:left w:val="single" w:sz="4" w:space="0" w:color="auto"/>
              <w:bottom w:val="single" w:sz="4" w:space="0" w:color="auto"/>
              <w:right w:val="single" w:sz="4" w:space="0" w:color="auto"/>
            </w:tcBorders>
          </w:tcPr>
          <w:p w14:paraId="7C72951D" w14:textId="77777777" w:rsidR="004A0FA4" w:rsidRPr="00AB6090" w:rsidRDefault="004A0FA4" w:rsidP="0063032F">
            <w:pPr>
              <w:spacing w:line="256" w:lineRule="auto"/>
              <w:jc w:val="both"/>
              <w:rPr>
                <w:rFonts w:cs="Arial"/>
                <w:color w:val="000000"/>
                <w:sz w:val="14"/>
                <w:szCs w:val="21"/>
                <w:bdr w:val="none" w:sz="0" w:space="0" w:color="auto" w:frame="1"/>
                <w:lang w:eastAsia="en-US"/>
              </w:rPr>
            </w:pPr>
          </w:p>
        </w:tc>
      </w:tr>
    </w:tbl>
    <w:p w14:paraId="7C2D9D06" w14:textId="77777777" w:rsidR="004A0FA4" w:rsidRPr="00AB6090" w:rsidRDefault="004A0FA4" w:rsidP="0063032F">
      <w:pPr>
        <w:ind w:left="360"/>
        <w:jc w:val="both"/>
      </w:pPr>
    </w:p>
    <w:p w14:paraId="500AE8A7" w14:textId="6F35CDEF" w:rsidR="00B76B82" w:rsidRPr="00AB6090" w:rsidRDefault="004A0FA4" w:rsidP="0063032F">
      <w:pPr>
        <w:jc w:val="both"/>
        <w:rPr>
          <w:rFonts w:cs="Arial"/>
          <w:b/>
        </w:rPr>
      </w:pPr>
      <w:r w:rsidRPr="00AB6090">
        <w:rPr>
          <w:rFonts w:cs="Arial"/>
          <w:b/>
        </w:rPr>
        <w:t xml:space="preserve">Pour rappel, les combustibles sont interdits à l’intérieur des chapiteaux. Veuillez également à disposer les moyens de cuisson à l’écart du public </w:t>
      </w:r>
      <w:r w:rsidR="002126C4">
        <w:rPr>
          <w:rFonts w:cs="Arial"/>
          <w:b/>
        </w:rPr>
        <w:t>et des risques de renversement.</w:t>
      </w:r>
    </w:p>
    <w:p w14:paraId="4D8C3EAF" w14:textId="77777777" w:rsidR="00B76B82" w:rsidRPr="00AB6090" w:rsidRDefault="00B76B82" w:rsidP="002126C4">
      <w:pPr>
        <w:pStyle w:val="Titre4"/>
        <w:pBdr>
          <w:top w:val="single" w:sz="4" w:space="1" w:color="auto"/>
          <w:left w:val="single" w:sz="4" w:space="4" w:color="auto"/>
          <w:bottom w:val="single" w:sz="4" w:space="1" w:color="auto"/>
          <w:right w:val="single" w:sz="4" w:space="4" w:color="auto"/>
        </w:pBdr>
        <w:jc w:val="both"/>
      </w:pPr>
      <w:bookmarkStart w:id="102" w:name="_Toc55899679"/>
      <w:bookmarkStart w:id="103" w:name="_Toc55900423"/>
      <w:r w:rsidRPr="00AB6090">
        <w:t>En cas de cuisson à l’électricité :</w:t>
      </w:r>
      <w:bookmarkEnd w:id="102"/>
      <w:bookmarkEnd w:id="103"/>
      <w:r w:rsidRPr="00AB6090">
        <w:t xml:space="preserve"> </w:t>
      </w:r>
    </w:p>
    <w:p w14:paraId="184DAE9F" w14:textId="77777777" w:rsidR="00B76B82" w:rsidRPr="00AB6090" w:rsidRDefault="00B76B82" w:rsidP="002126C4">
      <w:pPr>
        <w:pStyle w:val="Paragraphedeliste"/>
        <w:numPr>
          <w:ilvl w:val="0"/>
          <w:numId w:val="27"/>
        </w:numPr>
        <w:pBdr>
          <w:top w:val="single" w:sz="4" w:space="1" w:color="auto"/>
          <w:left w:val="single" w:sz="4" w:space="4" w:color="auto"/>
          <w:bottom w:val="single" w:sz="4" w:space="1" w:color="auto"/>
          <w:right w:val="single" w:sz="4" w:space="4" w:color="auto"/>
        </w:pBdr>
        <w:jc w:val="both"/>
      </w:pPr>
      <w:r w:rsidRPr="00AB6090">
        <w:t xml:space="preserve">Si vous êtes autonome au niveau de l’électricité : </w:t>
      </w:r>
      <w:r w:rsidRPr="00AB6090">
        <w:rPr>
          <w:u w:val="single"/>
        </w:rPr>
        <w:t xml:space="preserve">l’attestation de contrôle par un service externe de contrôle technique de l’installation électrique et du groupe électrogène vous sera demandée. </w:t>
      </w:r>
    </w:p>
    <w:p w14:paraId="24F25229" w14:textId="32918EEE" w:rsidR="00B76B82" w:rsidRPr="00AB6090" w:rsidRDefault="00B76B82" w:rsidP="002126C4">
      <w:pPr>
        <w:pStyle w:val="Paragraphedeliste"/>
        <w:numPr>
          <w:ilvl w:val="0"/>
          <w:numId w:val="27"/>
        </w:numPr>
        <w:pBdr>
          <w:top w:val="single" w:sz="4" w:space="1" w:color="auto"/>
          <w:left w:val="single" w:sz="4" w:space="4" w:color="auto"/>
          <w:bottom w:val="single" w:sz="4" w:space="1" w:color="auto"/>
          <w:right w:val="single" w:sz="4" w:space="4" w:color="auto"/>
        </w:pBdr>
        <w:jc w:val="both"/>
      </w:pPr>
      <w:r w:rsidRPr="00AB6090">
        <w:t>Si vous êtes raccordé à une borne publique d’électricité, le câble entre la borne et votre installation ne peut traîner librement à terre et doit être installé sous goulotte.</w:t>
      </w:r>
    </w:p>
    <w:p w14:paraId="71F46284" w14:textId="77777777" w:rsidR="002126C4" w:rsidRDefault="002126C4" w:rsidP="0063032F">
      <w:pPr>
        <w:pStyle w:val="Titre4"/>
        <w:jc w:val="both"/>
      </w:pPr>
      <w:bookmarkStart w:id="104" w:name="_Toc55899680"/>
      <w:bookmarkStart w:id="105" w:name="_Toc55900424"/>
    </w:p>
    <w:p w14:paraId="7F46B40D" w14:textId="77777777" w:rsidR="00B76B82" w:rsidRPr="00AB6090" w:rsidRDefault="00B76B82" w:rsidP="002126C4">
      <w:pPr>
        <w:pStyle w:val="Titre4"/>
        <w:pBdr>
          <w:top w:val="single" w:sz="4" w:space="1" w:color="auto"/>
          <w:left w:val="single" w:sz="4" w:space="4" w:color="auto"/>
          <w:bottom w:val="single" w:sz="4" w:space="1" w:color="auto"/>
          <w:right w:val="single" w:sz="4" w:space="4" w:color="auto"/>
        </w:pBdr>
        <w:jc w:val="both"/>
      </w:pPr>
      <w:r w:rsidRPr="00AB6090">
        <w:t>En cas d’utilisation d’une friteuse : (en dehors des véhicules aménagés)</w:t>
      </w:r>
      <w:bookmarkEnd w:id="104"/>
      <w:bookmarkEnd w:id="105"/>
      <w:r w:rsidRPr="00AB6090">
        <w:t xml:space="preserve"> </w:t>
      </w:r>
    </w:p>
    <w:p w14:paraId="567649A9" w14:textId="77777777" w:rsidR="00B76B82" w:rsidRPr="00AB6090" w:rsidRDefault="00B76B82" w:rsidP="002126C4">
      <w:pPr>
        <w:pStyle w:val="Paragraphedeliste"/>
        <w:numPr>
          <w:ilvl w:val="0"/>
          <w:numId w:val="28"/>
        </w:numPr>
        <w:pBdr>
          <w:top w:val="single" w:sz="4" w:space="1" w:color="auto"/>
          <w:left w:val="single" w:sz="4" w:space="4" w:color="auto"/>
          <w:bottom w:val="single" w:sz="4" w:space="1" w:color="auto"/>
          <w:right w:val="single" w:sz="4" w:space="4" w:color="auto"/>
        </w:pBdr>
        <w:jc w:val="both"/>
      </w:pPr>
      <w:r w:rsidRPr="00AB6090">
        <w:t xml:space="preserve">L’installation et l’utilisation de friteuse ne sont autorisées que dans les installations et stands spécialement équipés à cette fin, après autorisation préalable du bourgmestre et doivent occuper un emplacement distant de plus de 6m des constructions voisines ou autres installations. </w:t>
      </w:r>
    </w:p>
    <w:p w14:paraId="12F4CAD0" w14:textId="77777777" w:rsidR="00B76B82" w:rsidRPr="00AB6090" w:rsidRDefault="00B76B82" w:rsidP="002126C4">
      <w:pPr>
        <w:pStyle w:val="Paragraphedeliste"/>
        <w:numPr>
          <w:ilvl w:val="0"/>
          <w:numId w:val="28"/>
        </w:numPr>
        <w:pBdr>
          <w:top w:val="single" w:sz="4" w:space="1" w:color="auto"/>
          <w:left w:val="single" w:sz="4" w:space="4" w:color="auto"/>
          <w:bottom w:val="single" w:sz="4" w:space="1" w:color="auto"/>
          <w:right w:val="single" w:sz="4" w:space="4" w:color="auto"/>
        </w:pBdr>
        <w:jc w:val="both"/>
      </w:pPr>
      <w:r w:rsidRPr="00AB6090">
        <w:t xml:space="preserve">Il faut que vous disposiez d’un extincteur CO2 et d’une couverture anti-feu. </w:t>
      </w:r>
    </w:p>
    <w:p w14:paraId="54154F0D" w14:textId="77777777" w:rsidR="00B76B82" w:rsidRPr="00AB6090" w:rsidRDefault="00B76B82" w:rsidP="002126C4">
      <w:pPr>
        <w:pStyle w:val="Paragraphedeliste"/>
        <w:numPr>
          <w:ilvl w:val="0"/>
          <w:numId w:val="28"/>
        </w:numPr>
        <w:pBdr>
          <w:top w:val="single" w:sz="4" w:space="1" w:color="auto"/>
          <w:left w:val="single" w:sz="4" w:space="4" w:color="auto"/>
          <w:bottom w:val="single" w:sz="4" w:space="1" w:color="auto"/>
          <w:right w:val="single" w:sz="4" w:space="4" w:color="auto"/>
        </w:pBdr>
        <w:jc w:val="both"/>
      </w:pPr>
      <w:r w:rsidRPr="00AB6090">
        <w:t xml:space="preserve">S’il est fait usage d’une friteuse de type « ménager », il est impératif de veiller à la stabilité du support (stable, meuble, …) et à son horizontalité. Dans ce cas, il ne peut y avoir de toiles surplombant ou jouxtant l’appareil. </w:t>
      </w:r>
    </w:p>
    <w:p w14:paraId="5086761F" w14:textId="77777777" w:rsidR="00B76B82" w:rsidRPr="00AB6090" w:rsidRDefault="00B76B82" w:rsidP="002126C4">
      <w:pPr>
        <w:pStyle w:val="Paragraphedeliste"/>
        <w:numPr>
          <w:ilvl w:val="0"/>
          <w:numId w:val="28"/>
        </w:numPr>
        <w:pBdr>
          <w:top w:val="single" w:sz="4" w:space="1" w:color="auto"/>
          <w:left w:val="single" w:sz="4" w:space="4" w:color="auto"/>
          <w:bottom w:val="single" w:sz="4" w:space="1" w:color="auto"/>
          <w:right w:val="single" w:sz="4" w:space="4" w:color="auto"/>
        </w:pBdr>
        <w:jc w:val="both"/>
      </w:pPr>
      <w:r w:rsidRPr="00AB6090">
        <w:t>La friteuse doit être rendue complètement inaccessible au public.</w:t>
      </w:r>
    </w:p>
    <w:p w14:paraId="516E5947" w14:textId="77777777" w:rsidR="00B76B82" w:rsidRPr="00AB6090" w:rsidRDefault="00B76B82" w:rsidP="0063032F">
      <w:pPr>
        <w:jc w:val="both"/>
      </w:pPr>
    </w:p>
    <w:p w14:paraId="1163E6B7" w14:textId="77777777" w:rsidR="00B76B82" w:rsidRPr="00AB6090" w:rsidRDefault="00B76B82" w:rsidP="002126C4">
      <w:pPr>
        <w:pStyle w:val="Titre4"/>
        <w:pBdr>
          <w:top w:val="single" w:sz="4" w:space="1" w:color="auto"/>
          <w:left w:val="single" w:sz="4" w:space="4" w:color="auto"/>
          <w:bottom w:val="single" w:sz="4" w:space="1" w:color="auto"/>
          <w:right w:val="single" w:sz="4" w:space="4" w:color="auto"/>
        </w:pBdr>
        <w:jc w:val="both"/>
      </w:pPr>
      <w:bookmarkStart w:id="106" w:name="_Toc55899681"/>
      <w:bookmarkStart w:id="107" w:name="_Toc55900425"/>
      <w:r w:rsidRPr="00AB6090">
        <w:lastRenderedPageBreak/>
        <w:t>En cas d’utilisation d’un barbecue :</w:t>
      </w:r>
      <w:bookmarkEnd w:id="106"/>
      <w:bookmarkEnd w:id="107"/>
      <w:r w:rsidRPr="00AB6090">
        <w:t xml:space="preserve"> </w:t>
      </w:r>
    </w:p>
    <w:p w14:paraId="4096BFDD" w14:textId="77777777" w:rsidR="00B76B82" w:rsidRPr="00AB6090" w:rsidRDefault="00B76B82" w:rsidP="002126C4">
      <w:pPr>
        <w:pStyle w:val="Paragraphedeliste"/>
        <w:numPr>
          <w:ilvl w:val="0"/>
          <w:numId w:val="29"/>
        </w:numPr>
        <w:pBdr>
          <w:top w:val="single" w:sz="4" w:space="1" w:color="auto"/>
          <w:left w:val="single" w:sz="4" w:space="4" w:color="auto"/>
          <w:bottom w:val="single" w:sz="4" w:space="1" w:color="auto"/>
          <w:right w:val="single" w:sz="4" w:space="4" w:color="auto"/>
        </w:pBdr>
        <w:jc w:val="both"/>
      </w:pPr>
      <w:r w:rsidRPr="00AB6090">
        <w:t xml:space="preserve">Il est interdit d’utiliser des liquides inflammables, même pour l’allumage. </w:t>
      </w:r>
    </w:p>
    <w:p w14:paraId="724B62C4" w14:textId="77777777" w:rsidR="00B76B82" w:rsidRPr="00AB6090" w:rsidRDefault="00B76B82" w:rsidP="002126C4">
      <w:pPr>
        <w:pStyle w:val="Paragraphedeliste"/>
        <w:numPr>
          <w:ilvl w:val="0"/>
          <w:numId w:val="29"/>
        </w:numPr>
        <w:pBdr>
          <w:top w:val="single" w:sz="4" w:space="1" w:color="auto"/>
          <w:left w:val="single" w:sz="4" w:space="4" w:color="auto"/>
          <w:bottom w:val="single" w:sz="4" w:space="1" w:color="auto"/>
          <w:right w:val="single" w:sz="4" w:space="4" w:color="auto"/>
        </w:pBdr>
        <w:jc w:val="both"/>
      </w:pPr>
      <w:r w:rsidRPr="00AB6090">
        <w:t xml:space="preserve">Le barbecue doit être installé sur une surface plane, non combustible et protégé de tout renversement possible. </w:t>
      </w:r>
    </w:p>
    <w:p w14:paraId="5118DF1B" w14:textId="77777777" w:rsidR="00B76B82" w:rsidRPr="00AB6090" w:rsidRDefault="00B76B82" w:rsidP="002126C4">
      <w:pPr>
        <w:pStyle w:val="Paragraphedeliste"/>
        <w:numPr>
          <w:ilvl w:val="0"/>
          <w:numId w:val="29"/>
        </w:numPr>
        <w:pBdr>
          <w:top w:val="single" w:sz="4" w:space="1" w:color="auto"/>
          <w:left w:val="single" w:sz="4" w:space="4" w:color="auto"/>
          <w:bottom w:val="single" w:sz="4" w:space="1" w:color="auto"/>
          <w:right w:val="single" w:sz="4" w:space="4" w:color="auto"/>
        </w:pBdr>
        <w:jc w:val="both"/>
      </w:pPr>
      <w:r w:rsidRPr="00AB6090">
        <w:t xml:space="preserve">Un seau de sable muni d’une petite pelle en métal (+ un gant) se trouve à proximité de l’endroit de cuisson afin de pouvoir éteindre un début d’incendie éventuel. </w:t>
      </w:r>
    </w:p>
    <w:p w14:paraId="4233E9D9" w14:textId="77777777" w:rsidR="00B76B82" w:rsidRPr="00AB6090" w:rsidRDefault="00B76B82" w:rsidP="002126C4">
      <w:pPr>
        <w:pStyle w:val="Paragraphedeliste"/>
        <w:numPr>
          <w:ilvl w:val="0"/>
          <w:numId w:val="29"/>
        </w:numPr>
        <w:pBdr>
          <w:top w:val="single" w:sz="4" w:space="1" w:color="auto"/>
          <w:left w:val="single" w:sz="4" w:space="4" w:color="auto"/>
          <w:bottom w:val="single" w:sz="4" w:space="1" w:color="auto"/>
          <w:right w:val="single" w:sz="4" w:space="4" w:color="auto"/>
        </w:pBdr>
        <w:jc w:val="both"/>
      </w:pPr>
      <w:r w:rsidRPr="00AB6090">
        <w:t>Il sera placé à l’écart du public pour éviter tout risque de renversement.</w:t>
      </w:r>
    </w:p>
    <w:p w14:paraId="5C9EF7E8" w14:textId="77777777" w:rsidR="00B76B82" w:rsidRPr="00AB6090" w:rsidRDefault="00B76B82" w:rsidP="0063032F">
      <w:pPr>
        <w:jc w:val="both"/>
      </w:pPr>
    </w:p>
    <w:p w14:paraId="59996376" w14:textId="77777777" w:rsidR="00AF608B" w:rsidRPr="00AB6090" w:rsidRDefault="00B76B82" w:rsidP="0063032F">
      <w:pPr>
        <w:pStyle w:val="Style2"/>
        <w:jc w:val="both"/>
        <w:outlineLvl w:val="1"/>
      </w:pPr>
      <w:bookmarkStart w:id="108" w:name="_Toc55899682"/>
      <w:bookmarkStart w:id="109" w:name="_Toc55900426"/>
      <w:bookmarkStart w:id="110" w:name="_Toc56426926"/>
      <w:r w:rsidRPr="00CE292C">
        <w:t>Brûlage</w:t>
      </w:r>
      <w:r w:rsidRPr="00AB6090">
        <w:t xml:space="preserve"> de bosses et feux festifs</w:t>
      </w:r>
      <w:bookmarkEnd w:id="108"/>
      <w:bookmarkEnd w:id="109"/>
      <w:bookmarkEnd w:id="110"/>
    </w:p>
    <w:tbl>
      <w:tblPr>
        <w:tblStyle w:val="Grilledutableau"/>
        <w:tblW w:w="0" w:type="auto"/>
        <w:tblLook w:val="04A0" w:firstRow="1" w:lastRow="0" w:firstColumn="1" w:lastColumn="0" w:noHBand="0" w:noVBand="1"/>
      </w:tblPr>
      <w:tblGrid>
        <w:gridCol w:w="3485"/>
        <w:gridCol w:w="3485"/>
        <w:gridCol w:w="3486"/>
      </w:tblGrid>
      <w:tr w:rsidR="00AF608B" w:rsidRPr="00AB6090" w14:paraId="277882E0" w14:textId="77777777" w:rsidTr="00567F1A">
        <w:tc>
          <w:tcPr>
            <w:tcW w:w="3485" w:type="dxa"/>
            <w:shd w:val="clear" w:color="auto" w:fill="D9D9D9" w:themeFill="background1" w:themeFillShade="D9"/>
          </w:tcPr>
          <w:p w14:paraId="6C897A16" w14:textId="77777777" w:rsidR="00AF608B" w:rsidRPr="00AB6090" w:rsidRDefault="00AF608B" w:rsidP="0063032F">
            <w:pPr>
              <w:jc w:val="both"/>
              <w:rPr>
                <w:b/>
              </w:rPr>
            </w:pPr>
            <w:r w:rsidRPr="00AB6090">
              <w:rPr>
                <w:b/>
              </w:rPr>
              <w:t>Questions</w:t>
            </w:r>
          </w:p>
        </w:tc>
        <w:tc>
          <w:tcPr>
            <w:tcW w:w="3485" w:type="dxa"/>
            <w:shd w:val="clear" w:color="auto" w:fill="D9D9D9" w:themeFill="background1" w:themeFillShade="D9"/>
          </w:tcPr>
          <w:p w14:paraId="711D7E1F" w14:textId="77777777" w:rsidR="00AF608B" w:rsidRPr="00AB6090" w:rsidRDefault="00AF608B" w:rsidP="0063032F">
            <w:pPr>
              <w:jc w:val="both"/>
              <w:rPr>
                <w:b/>
              </w:rPr>
            </w:pPr>
            <w:r w:rsidRPr="00AB6090">
              <w:rPr>
                <w:b/>
              </w:rPr>
              <w:t>Si oui</w:t>
            </w:r>
          </w:p>
        </w:tc>
        <w:tc>
          <w:tcPr>
            <w:tcW w:w="3486" w:type="dxa"/>
            <w:shd w:val="clear" w:color="auto" w:fill="D9D9D9" w:themeFill="background1" w:themeFillShade="D9"/>
          </w:tcPr>
          <w:p w14:paraId="137C6D44" w14:textId="77777777" w:rsidR="00AF608B" w:rsidRPr="00AB6090" w:rsidRDefault="00AF608B" w:rsidP="0063032F">
            <w:pPr>
              <w:jc w:val="both"/>
              <w:rPr>
                <w:b/>
              </w:rPr>
            </w:pPr>
            <w:r w:rsidRPr="00AB6090">
              <w:rPr>
                <w:b/>
              </w:rPr>
              <w:t>Si non</w:t>
            </w:r>
          </w:p>
        </w:tc>
      </w:tr>
      <w:tr w:rsidR="00AF608B" w:rsidRPr="00AB6090" w14:paraId="25757D7B" w14:textId="77777777" w:rsidTr="00567F1A">
        <w:tc>
          <w:tcPr>
            <w:tcW w:w="3485" w:type="dxa"/>
          </w:tcPr>
          <w:p w14:paraId="5541958E" w14:textId="7582A198" w:rsidR="00AF608B" w:rsidRPr="00AB6090" w:rsidRDefault="00AF608B" w:rsidP="0063032F">
            <w:pPr>
              <w:jc w:val="both"/>
            </w:pPr>
            <w:r w:rsidRPr="00AB6090">
              <w:t xml:space="preserve">1. L’endroit où est prévu le feu est-il </w:t>
            </w:r>
            <w:r w:rsidR="00140063" w:rsidRPr="00AB6090">
              <w:t>respecte-t’ il</w:t>
            </w:r>
            <w:r w:rsidRPr="00AB6090">
              <w:t xml:space="preserve"> l’article 89, 8° du code rural (</w:t>
            </w:r>
            <w:r w:rsidRPr="00AB6090">
              <w:rPr>
                <w:rFonts w:cs="Arial"/>
                <w:b/>
                <w:color w:val="C00000"/>
                <w:sz w:val="14"/>
                <w:szCs w:val="21"/>
                <w:bdr w:val="none" w:sz="0" w:space="0" w:color="auto" w:frame="1"/>
              </w:rPr>
              <w:t>Interdiction de faire un feu à moins de 100 mètres de toute construction ou lisière de forêt)</w:t>
            </w:r>
            <w:r w:rsidRPr="00AB6090">
              <w:t xml:space="preserve"> </w:t>
            </w:r>
          </w:p>
        </w:tc>
        <w:tc>
          <w:tcPr>
            <w:tcW w:w="3485" w:type="dxa"/>
          </w:tcPr>
          <w:p w14:paraId="50133BAE" w14:textId="77777777" w:rsidR="00AF608B" w:rsidRPr="00AB6090" w:rsidRDefault="00AF608B" w:rsidP="0063032F">
            <w:pPr>
              <w:widowControl w:val="0"/>
              <w:autoSpaceDE w:val="0"/>
              <w:autoSpaceDN w:val="0"/>
              <w:adjustRightInd w:val="0"/>
              <w:spacing w:line="259" w:lineRule="auto"/>
              <w:contextualSpacing/>
              <w:jc w:val="both"/>
            </w:pPr>
            <w:r w:rsidRPr="00AB6090">
              <w:t>Pas d’avis nécessaire</w:t>
            </w:r>
          </w:p>
          <w:p w14:paraId="0CE56CEA" w14:textId="77777777" w:rsidR="00AF608B" w:rsidRPr="00AB6090" w:rsidRDefault="00AF608B" w:rsidP="0063032F">
            <w:pPr>
              <w:widowControl w:val="0"/>
              <w:autoSpaceDE w:val="0"/>
              <w:autoSpaceDN w:val="0"/>
              <w:adjustRightInd w:val="0"/>
              <w:spacing w:line="259" w:lineRule="auto"/>
              <w:contextualSpacing/>
              <w:jc w:val="both"/>
            </w:pPr>
            <w:r w:rsidRPr="00AB6090">
              <w:t>Communiquer à l’organisateur les prescriptions minimales (§ 5.5.1)</w:t>
            </w:r>
          </w:p>
        </w:tc>
        <w:tc>
          <w:tcPr>
            <w:tcW w:w="3486" w:type="dxa"/>
          </w:tcPr>
          <w:p w14:paraId="588FF34C" w14:textId="77777777" w:rsidR="00AF608B" w:rsidRPr="00AB6090" w:rsidRDefault="00AF608B" w:rsidP="0063032F">
            <w:pPr>
              <w:widowControl w:val="0"/>
              <w:autoSpaceDE w:val="0"/>
              <w:autoSpaceDN w:val="0"/>
              <w:adjustRightInd w:val="0"/>
              <w:spacing w:line="259" w:lineRule="auto"/>
              <w:contextualSpacing/>
              <w:jc w:val="both"/>
            </w:pPr>
            <w:r w:rsidRPr="00AB6090">
              <w:t>Passer à la question suivante</w:t>
            </w:r>
          </w:p>
        </w:tc>
      </w:tr>
      <w:tr w:rsidR="00AF608B" w:rsidRPr="00AB6090" w14:paraId="446FD02C" w14:textId="77777777" w:rsidTr="00567F1A">
        <w:tc>
          <w:tcPr>
            <w:tcW w:w="3485" w:type="dxa"/>
          </w:tcPr>
          <w:p w14:paraId="275BAD7A" w14:textId="77777777" w:rsidR="00AF608B" w:rsidRPr="00AB6090" w:rsidRDefault="00AF608B" w:rsidP="0063032F">
            <w:pPr>
              <w:ind w:left="171"/>
              <w:jc w:val="both"/>
            </w:pPr>
            <w:r w:rsidRPr="00AB6090">
              <w:t>2. L’endroit où est prévu le feu est-il à proximité d’un risque potentiel (autre bâtiment, bois, éléments facilement inflammables, structure provisoire comme un chapiteau, …)</w:t>
            </w:r>
          </w:p>
        </w:tc>
        <w:tc>
          <w:tcPr>
            <w:tcW w:w="3485" w:type="dxa"/>
          </w:tcPr>
          <w:p w14:paraId="031AFA57" w14:textId="77777777" w:rsidR="00AF608B" w:rsidRPr="00AB6090" w:rsidRDefault="00AF608B" w:rsidP="0063032F">
            <w:pPr>
              <w:widowControl w:val="0"/>
              <w:autoSpaceDE w:val="0"/>
              <w:autoSpaceDN w:val="0"/>
              <w:adjustRightInd w:val="0"/>
              <w:spacing w:line="259" w:lineRule="auto"/>
              <w:contextualSpacing/>
              <w:jc w:val="both"/>
            </w:pPr>
            <w:r w:rsidRPr="00AB6090">
              <w:t>Demander l’avis de la zone de secours</w:t>
            </w:r>
          </w:p>
        </w:tc>
        <w:tc>
          <w:tcPr>
            <w:tcW w:w="3486" w:type="dxa"/>
          </w:tcPr>
          <w:p w14:paraId="3D0286FD" w14:textId="77777777" w:rsidR="00AF608B" w:rsidRPr="00AB6090" w:rsidRDefault="00AF608B" w:rsidP="0063032F">
            <w:pPr>
              <w:widowControl w:val="0"/>
              <w:autoSpaceDE w:val="0"/>
              <w:autoSpaceDN w:val="0"/>
              <w:adjustRightInd w:val="0"/>
              <w:spacing w:line="259" w:lineRule="auto"/>
              <w:contextualSpacing/>
              <w:jc w:val="both"/>
            </w:pPr>
            <w:r w:rsidRPr="00AB6090">
              <w:t>Pas d’avis nécessaire</w:t>
            </w:r>
          </w:p>
          <w:p w14:paraId="25017846" w14:textId="77777777" w:rsidR="00AF608B" w:rsidRPr="00AB6090" w:rsidRDefault="00AF608B" w:rsidP="0063032F">
            <w:pPr>
              <w:widowControl w:val="0"/>
              <w:autoSpaceDE w:val="0"/>
              <w:autoSpaceDN w:val="0"/>
              <w:adjustRightInd w:val="0"/>
              <w:spacing w:line="259" w:lineRule="auto"/>
              <w:contextualSpacing/>
              <w:jc w:val="both"/>
            </w:pPr>
            <w:r w:rsidRPr="00AB6090">
              <w:t>Communiquer à l’organisateur les prescriptions minimales (§ 5.5.1)</w:t>
            </w:r>
          </w:p>
        </w:tc>
      </w:tr>
    </w:tbl>
    <w:p w14:paraId="10921169" w14:textId="77777777" w:rsidR="00AF608B" w:rsidRPr="00AB6090" w:rsidRDefault="00AF608B" w:rsidP="0063032F">
      <w:pPr>
        <w:jc w:val="both"/>
      </w:pPr>
    </w:p>
    <w:p w14:paraId="1D1D9419"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3873CBCD" w14:textId="77777777" w:rsidR="00AF608B" w:rsidRPr="00AB6090" w:rsidRDefault="00AF608B" w:rsidP="0063032F">
      <w:pPr>
        <w:pStyle w:val="Paragraphedeliste"/>
        <w:numPr>
          <w:ilvl w:val="0"/>
          <w:numId w:val="30"/>
        </w:numPr>
        <w:jc w:val="both"/>
      </w:pPr>
      <w:r w:rsidRPr="00AB6090">
        <w:t>L’organisateur analysera au préalable le lieu du brûlage et les risques associés, et prendra les mesures nécessaires pour assurer la protection du public et des biens.  L’ensemble des dispositions ci-dessous seront revues et au besoin complétées par l’organisateur en fonction de l’ampleur du feu, de sa localisation et des éléments environnants.</w:t>
      </w:r>
    </w:p>
    <w:p w14:paraId="4D5E46E5" w14:textId="77777777" w:rsidR="00AF608B" w:rsidRPr="00AB6090" w:rsidRDefault="00AF608B" w:rsidP="0063032F">
      <w:pPr>
        <w:pStyle w:val="Paragraphedeliste"/>
        <w:numPr>
          <w:ilvl w:val="0"/>
          <w:numId w:val="30"/>
        </w:numPr>
        <w:jc w:val="both"/>
      </w:pPr>
      <w:r w:rsidRPr="00AB6090">
        <w:t xml:space="preserve">Respecter une distance de sécurité suffisante vis-à-vis des constructions, des structures temporaires et de la végétation, en tenant compte de la possibilité d'envol de brandons enflammés avec le vent. </w:t>
      </w:r>
    </w:p>
    <w:p w14:paraId="34D2ADB6" w14:textId="77777777" w:rsidR="00AF608B" w:rsidRPr="00AB6090" w:rsidRDefault="00AF608B" w:rsidP="0063032F">
      <w:pPr>
        <w:pStyle w:val="Paragraphedeliste"/>
        <w:numPr>
          <w:ilvl w:val="0"/>
          <w:numId w:val="30"/>
        </w:numPr>
        <w:jc w:val="both"/>
      </w:pPr>
      <w:r w:rsidRPr="00AB6090">
        <w:t xml:space="preserve">Installer un périmètre de sécurité pour le public, en tenant compte du rayonnement thermique et de la possibilité de chute de matières enflammées - (1 fois et demie la hauteur du bucher).  Matérialiser ce périmètre soit par des barrières </w:t>
      </w:r>
      <w:proofErr w:type="spellStart"/>
      <w:r w:rsidRPr="00AB6090">
        <w:t>nadar</w:t>
      </w:r>
      <w:proofErr w:type="spellEnd"/>
      <w:r w:rsidRPr="00AB6090">
        <w:t xml:space="preserve">, soit par un cordon de personnel de sécurité.  Le choix sera à poser par l’organisateur en fonction des circonstances locales. </w:t>
      </w:r>
    </w:p>
    <w:p w14:paraId="115EF5E3" w14:textId="77777777" w:rsidR="00AF608B" w:rsidRPr="00AB6090" w:rsidRDefault="00AF608B" w:rsidP="0063032F">
      <w:pPr>
        <w:pStyle w:val="Paragraphedeliste"/>
        <w:jc w:val="both"/>
      </w:pPr>
      <w:r w:rsidRPr="00AB6090">
        <w:rPr>
          <w:rFonts w:cs="Arial"/>
          <w:b/>
          <w:color w:val="C00000"/>
          <w:sz w:val="14"/>
          <w:szCs w:val="21"/>
          <w:bdr w:val="none" w:sz="0" w:space="0" w:color="auto" w:frame="1"/>
        </w:rPr>
        <w:t xml:space="preserve">Les zones non sécurisées par les dites barrières </w:t>
      </w:r>
      <w:proofErr w:type="spellStart"/>
      <w:r w:rsidRPr="00AB6090">
        <w:rPr>
          <w:rFonts w:cs="Arial"/>
          <w:b/>
          <w:color w:val="C00000"/>
          <w:sz w:val="14"/>
          <w:szCs w:val="21"/>
          <w:bdr w:val="none" w:sz="0" w:space="0" w:color="auto" w:frame="1"/>
        </w:rPr>
        <w:t>nadar</w:t>
      </w:r>
      <w:proofErr w:type="spellEnd"/>
      <w:r w:rsidRPr="00AB6090">
        <w:rPr>
          <w:rFonts w:cs="Arial"/>
          <w:b/>
          <w:color w:val="C00000"/>
          <w:sz w:val="14"/>
          <w:szCs w:val="21"/>
          <w:bdr w:val="none" w:sz="0" w:space="0" w:color="auto" w:frame="1"/>
        </w:rPr>
        <w:t xml:space="preserve"> seront interdites au public et cette interdiction sera signalée par des pictogrammes conformes à l’AR du 17 juin 1997.</w:t>
      </w:r>
    </w:p>
    <w:p w14:paraId="030BC5FB" w14:textId="77777777" w:rsidR="00AF608B" w:rsidRPr="00AB6090" w:rsidRDefault="00AF608B" w:rsidP="0063032F">
      <w:pPr>
        <w:pStyle w:val="Paragraphedeliste"/>
        <w:numPr>
          <w:ilvl w:val="0"/>
          <w:numId w:val="30"/>
        </w:numPr>
        <w:jc w:val="both"/>
      </w:pPr>
      <w:r w:rsidRPr="00AB6090">
        <w:t xml:space="preserve">Installer un lit de sable de 10 à 15 cm d’épaisseur sous l'emplacement du feu. </w:t>
      </w:r>
    </w:p>
    <w:p w14:paraId="75B6F0B8" w14:textId="77777777" w:rsidR="00AF608B" w:rsidRPr="00AB6090" w:rsidRDefault="00AF608B" w:rsidP="0063032F">
      <w:pPr>
        <w:pStyle w:val="Paragraphedeliste"/>
        <w:numPr>
          <w:ilvl w:val="0"/>
          <w:numId w:val="30"/>
        </w:numPr>
        <w:jc w:val="both"/>
      </w:pPr>
      <w:r w:rsidRPr="00AB6090">
        <w:t>Dégager les abords immédiats du feu de toute végétation sèche (sur une distance égale au minimum à la moitié de la hauteur du foyer).</w:t>
      </w:r>
    </w:p>
    <w:p w14:paraId="063DA814" w14:textId="77777777" w:rsidR="00AF608B" w:rsidRPr="00AB6090" w:rsidRDefault="00AF608B" w:rsidP="0063032F">
      <w:pPr>
        <w:pStyle w:val="Paragraphedeliste"/>
        <w:numPr>
          <w:ilvl w:val="0"/>
          <w:numId w:val="30"/>
        </w:numPr>
        <w:jc w:val="both"/>
      </w:pPr>
      <w:r w:rsidRPr="00AB6090">
        <w:t xml:space="preserve">Dégager les abords immédiats du feu de toute végétation sèche (sur une distance égale au minimum à la moitié de la hauteur du foyer). </w:t>
      </w:r>
    </w:p>
    <w:p w14:paraId="0665BA98" w14:textId="77777777" w:rsidR="00AF608B" w:rsidRPr="00AB6090" w:rsidRDefault="00AF608B" w:rsidP="0063032F">
      <w:pPr>
        <w:pStyle w:val="Paragraphedeliste"/>
        <w:numPr>
          <w:ilvl w:val="0"/>
          <w:numId w:val="30"/>
        </w:numPr>
        <w:jc w:val="both"/>
      </w:pPr>
      <w:r w:rsidRPr="00AB6090">
        <w:t>Idéalement, la construction du bûcher doit être réalisée de telle manière à ce que ce dernier s'effondre vers l'intérieur en raison de sa combustion. La hauteur maximale ne peut dépasser dix mètres.</w:t>
      </w:r>
    </w:p>
    <w:p w14:paraId="07B41CF5" w14:textId="77777777" w:rsidR="00AF608B" w:rsidRPr="00AB6090" w:rsidRDefault="00AF608B" w:rsidP="0063032F">
      <w:pPr>
        <w:pStyle w:val="Paragraphedeliste"/>
        <w:numPr>
          <w:ilvl w:val="0"/>
          <w:numId w:val="30"/>
        </w:numPr>
        <w:jc w:val="both"/>
      </w:pPr>
      <w:r w:rsidRPr="00AB6090">
        <w:t xml:space="preserve">L’utilisation de produits accélérant hautement inflammables tels white-spirit, </w:t>
      </w:r>
      <w:proofErr w:type="spellStart"/>
      <w:r w:rsidRPr="00AB6090">
        <w:t>thinner</w:t>
      </w:r>
      <w:proofErr w:type="spellEnd"/>
      <w:r w:rsidRPr="00AB6090">
        <w:t xml:space="preserve">, essence, etc. pour procéder à l’allumage ou l'entretien du feu est strictement interdite. Il est également interdit de jeter des aérosols dans le foyer.  La manipulation d’aérosols à proximité du foyer est dangereuse (explosion ou effet chalumeau par la présence de gaz butane propulseur).  Ne pas stocker de matières inflammables à proximité du feu. </w:t>
      </w:r>
    </w:p>
    <w:p w14:paraId="23C79E46" w14:textId="77777777" w:rsidR="00AF608B" w:rsidRPr="00AB6090" w:rsidRDefault="00AF608B" w:rsidP="0063032F">
      <w:pPr>
        <w:pStyle w:val="Paragraphedeliste"/>
        <w:numPr>
          <w:ilvl w:val="0"/>
          <w:numId w:val="30"/>
        </w:numPr>
        <w:jc w:val="both"/>
      </w:pPr>
      <w:r w:rsidRPr="00AB6090">
        <w:t>Désignation d’un coordinateur sécurité qui :</w:t>
      </w:r>
    </w:p>
    <w:p w14:paraId="3C0FB0E8" w14:textId="77777777" w:rsidR="00AF608B" w:rsidRPr="00AB6090" w:rsidRDefault="00AF608B" w:rsidP="0063032F">
      <w:pPr>
        <w:pStyle w:val="Paragraphedeliste"/>
        <w:numPr>
          <w:ilvl w:val="1"/>
          <w:numId w:val="31"/>
        </w:numPr>
        <w:jc w:val="both"/>
      </w:pPr>
      <w:r w:rsidRPr="00AB6090">
        <w:t xml:space="preserve">s’abstiendra de toute consommation de boissons alcoolisées;  </w:t>
      </w:r>
    </w:p>
    <w:p w14:paraId="41028714" w14:textId="77777777" w:rsidR="00AF608B" w:rsidRPr="00AB6090" w:rsidRDefault="00AF608B" w:rsidP="0063032F">
      <w:pPr>
        <w:pStyle w:val="Paragraphedeliste"/>
        <w:numPr>
          <w:ilvl w:val="1"/>
          <w:numId w:val="31"/>
        </w:numPr>
        <w:jc w:val="both"/>
      </w:pPr>
      <w:r w:rsidRPr="00AB6090">
        <w:t xml:space="preserve">coordonnera les actions du personnel de sécurité; </w:t>
      </w:r>
    </w:p>
    <w:p w14:paraId="1904D918" w14:textId="77777777" w:rsidR="00AF608B" w:rsidRPr="00AB6090" w:rsidRDefault="00AF608B" w:rsidP="0063032F">
      <w:pPr>
        <w:pStyle w:val="Paragraphedeliste"/>
        <w:numPr>
          <w:ilvl w:val="1"/>
          <w:numId w:val="31"/>
        </w:numPr>
        <w:jc w:val="both"/>
      </w:pPr>
      <w:r w:rsidRPr="00AB6090">
        <w:t xml:space="preserve">veillera à l’application et au respect des dispositions de sécurité prévues; o préviendra toute action potentiellement dangereuse de la part du public;  </w:t>
      </w:r>
    </w:p>
    <w:p w14:paraId="6A09247D" w14:textId="77777777" w:rsidR="00AF608B" w:rsidRPr="00AB6090" w:rsidRDefault="00AF608B" w:rsidP="0063032F">
      <w:pPr>
        <w:pStyle w:val="Paragraphedeliste"/>
        <w:numPr>
          <w:ilvl w:val="1"/>
          <w:numId w:val="31"/>
        </w:numPr>
        <w:jc w:val="both"/>
      </w:pPr>
      <w:r w:rsidRPr="00AB6090">
        <w:t xml:space="preserve">veillera à ce que les chemins d’accès des services de secours ne soient pas entravés; </w:t>
      </w:r>
    </w:p>
    <w:p w14:paraId="7BC9C724" w14:textId="77777777" w:rsidR="00AF608B" w:rsidRPr="00AB6090" w:rsidRDefault="00AF608B" w:rsidP="0063032F">
      <w:pPr>
        <w:pStyle w:val="Paragraphedeliste"/>
        <w:numPr>
          <w:ilvl w:val="1"/>
          <w:numId w:val="31"/>
        </w:numPr>
        <w:jc w:val="both"/>
      </w:pPr>
      <w:r w:rsidRPr="00AB6090">
        <w:t xml:space="preserve">repérera les ressources en eau disponibles (bornes, bouches, plans d’eau); </w:t>
      </w:r>
    </w:p>
    <w:p w14:paraId="06E9BA53" w14:textId="77777777" w:rsidR="00AF608B" w:rsidRPr="00AB6090" w:rsidRDefault="00AF608B" w:rsidP="0063032F">
      <w:pPr>
        <w:pStyle w:val="Paragraphedeliste"/>
        <w:numPr>
          <w:ilvl w:val="1"/>
          <w:numId w:val="31"/>
        </w:numPr>
        <w:jc w:val="both"/>
      </w:pPr>
      <w:r w:rsidRPr="00AB6090">
        <w:t xml:space="preserve">aura à sa disposition un téléphone et une liste des numéros de téléphone des services de secours, et préviendra les secours (112) en cas de nécessité; accueillera et guidera les services de secours au besoin; </w:t>
      </w:r>
    </w:p>
    <w:p w14:paraId="4F9DBA93" w14:textId="77777777" w:rsidR="00AF608B" w:rsidRPr="00AB6090" w:rsidRDefault="00AF608B" w:rsidP="0063032F">
      <w:pPr>
        <w:pStyle w:val="Paragraphedeliste"/>
        <w:numPr>
          <w:ilvl w:val="1"/>
          <w:numId w:val="31"/>
        </w:numPr>
        <w:jc w:val="both"/>
      </w:pPr>
      <w:r w:rsidRPr="00AB6090">
        <w:t>avec l'équipe d'organisation, assurera une surveillance permanente du feu et ce jusqu'à extinction complète.</w:t>
      </w:r>
    </w:p>
    <w:p w14:paraId="710B6A9F" w14:textId="77777777" w:rsidR="00AF608B" w:rsidRPr="00AB6090" w:rsidRDefault="00AF608B" w:rsidP="0063032F">
      <w:pPr>
        <w:pStyle w:val="Paragraphedeliste"/>
        <w:numPr>
          <w:ilvl w:val="1"/>
          <w:numId w:val="32"/>
        </w:numPr>
        <w:ind w:left="851" w:hanging="425"/>
        <w:jc w:val="both"/>
      </w:pPr>
      <w:r w:rsidRPr="00AB6090">
        <w:t xml:space="preserve">L’organisateur veillera à disposer, à portée de main, d’au moins 2 appareils extincteurs à poudre ABC polyvalente d’une capacité de 6 kg, ou à mousse (eau + agent mouillant) de capacité équivalente.  Il aura également une couverture anti-feu de minimum 1.8 m sur 1.8 m.   </w:t>
      </w:r>
    </w:p>
    <w:p w14:paraId="5E065211" w14:textId="77777777" w:rsidR="00AF608B" w:rsidRPr="00AB6090" w:rsidRDefault="00AF608B" w:rsidP="0063032F">
      <w:pPr>
        <w:pStyle w:val="Paragraphedeliste"/>
        <w:numPr>
          <w:ilvl w:val="0"/>
          <w:numId w:val="32"/>
        </w:numPr>
        <w:jc w:val="both"/>
      </w:pPr>
      <w:r w:rsidRPr="00AB6090">
        <w:t>L’organisateur est tenus de consulter les services de météorologie et de vérifier les conditions climatiques locales (vents dominants, sécheresse, tempête, …) le jour de l’évènement et d’adapter le dispositif le cas échéant. La mise à feu est interrompue si un risque se présente (conditions météorologiques défavorables).</w:t>
      </w:r>
    </w:p>
    <w:p w14:paraId="33873D34" w14:textId="77777777" w:rsidR="00AF608B" w:rsidRPr="00AB6090" w:rsidRDefault="00AF608B" w:rsidP="0063032F">
      <w:pPr>
        <w:pStyle w:val="Paragraphedeliste"/>
        <w:numPr>
          <w:ilvl w:val="0"/>
          <w:numId w:val="32"/>
        </w:numPr>
        <w:jc w:val="both"/>
      </w:pPr>
      <w:r w:rsidRPr="00AB6090">
        <w:t>Les bouches d’incendie situées sur le terrain occupé ou sur les voies d’accès doivent être dégagées et aisément accessible aux sapeurs-pompiers. L’organisateur sera particulièrement attentif au parking des véhicules afin de ne pas masquer les bouches d’incendies.</w:t>
      </w:r>
    </w:p>
    <w:p w14:paraId="6643C45D" w14:textId="77777777" w:rsidR="00AF608B" w:rsidRPr="00AB6090" w:rsidRDefault="00AF608B" w:rsidP="0063032F">
      <w:pPr>
        <w:pStyle w:val="Paragraphedeliste"/>
        <w:numPr>
          <w:ilvl w:val="0"/>
          <w:numId w:val="32"/>
        </w:numPr>
        <w:jc w:val="both"/>
      </w:pPr>
      <w:r w:rsidRPr="00AB6090">
        <w:t>A l’issue du grand feu, l’emplacement du bûcher est nettoyé et contrôlé pour éviter tout risque de reprise de feu.</w:t>
      </w:r>
    </w:p>
    <w:p w14:paraId="50D100C5" w14:textId="77777777" w:rsidR="00AF608B" w:rsidRPr="00AB6090" w:rsidRDefault="00AF608B" w:rsidP="0063032F">
      <w:pPr>
        <w:pStyle w:val="Paragraphedeliste"/>
        <w:ind w:left="851"/>
        <w:jc w:val="both"/>
      </w:pPr>
    </w:p>
    <w:p w14:paraId="7D176F5D" w14:textId="77777777" w:rsidR="00AF608B" w:rsidRPr="00AB6090" w:rsidRDefault="00AB6090" w:rsidP="0063032F">
      <w:pPr>
        <w:jc w:val="both"/>
        <w:rPr>
          <w:b/>
          <w:u w:val="single"/>
        </w:rPr>
      </w:pPr>
      <w:r w:rsidRPr="00AB6090">
        <w:rPr>
          <w:b/>
          <w:noProof/>
          <w:u w:val="single"/>
          <w:lang w:val="fr-BE" w:eastAsia="fr-BE"/>
        </w:rPr>
        <w:lastRenderedPageBreak/>
        <mc:AlternateContent>
          <mc:Choice Requires="wps">
            <w:drawing>
              <wp:anchor distT="0" distB="0" distL="114300" distR="114300" simplePos="0" relativeHeight="251659264" behindDoc="0" locked="0" layoutInCell="1" allowOverlap="1" wp14:anchorId="6FED8DF9" wp14:editId="076C8D09">
                <wp:simplePos x="0" y="0"/>
                <wp:positionH relativeFrom="column">
                  <wp:posOffset>41910</wp:posOffset>
                </wp:positionH>
                <wp:positionV relativeFrom="paragraph">
                  <wp:posOffset>453390</wp:posOffset>
                </wp:positionV>
                <wp:extent cx="226243" cy="235670"/>
                <wp:effectExtent l="0" t="0" r="40640" b="31115"/>
                <wp:wrapNone/>
                <wp:docPr id="11" name="Flèche courbée vers la droite 11"/>
                <wp:cNvGraphicFramePr/>
                <a:graphic xmlns:a="http://schemas.openxmlformats.org/drawingml/2006/main">
                  <a:graphicData uri="http://schemas.microsoft.com/office/word/2010/wordprocessingShape">
                    <wps:wsp>
                      <wps:cNvSpPr/>
                      <wps:spPr>
                        <a:xfrm>
                          <a:off x="0" y="0"/>
                          <a:ext cx="226243" cy="23567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A1C18A1"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èche courbée vers la droite 11" o:spid="_x0000_s1026" type="#_x0000_t102" style="position:absolute;margin-left:3.3pt;margin-top:35.7pt;width:17.8pt;height:18.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" adj="11232,19008,16200" fillcolor="#ed4136 [3204]" strokecolor="#84130c [1604]" strokeweight="1pt"/>
            </w:pict>
          </mc:Fallback>
        </mc:AlternateContent>
      </w:r>
      <w:r w:rsidR="00AF608B" w:rsidRPr="00AB6090">
        <w:rPr>
          <w:b/>
        </w:rPr>
        <w:t xml:space="preserve">Comme la présence sur place d’un service d’incendie ne constitue pas une garantie de risque zéro, vu la nécessité d'assurer normalement nos autres missions et compte tenu du nombre élevé de demandes en cette période ne nous permettant pas d'assurer une permanence sur chaque organisation, </w:t>
      </w:r>
      <w:r w:rsidR="00AF608B" w:rsidRPr="00AB6090">
        <w:rPr>
          <w:b/>
          <w:u w:val="single"/>
        </w:rPr>
        <w:t>nous n'interviendrons qu'en cas de problème dans les meilleurs délais, comme lors de tout autre sinistre ou accident.</w:t>
      </w:r>
    </w:p>
    <w:p w14:paraId="07182EE9" w14:textId="47C44052" w:rsidR="00AF608B" w:rsidRDefault="00DC5E8A" w:rsidP="0063032F">
      <w:pPr>
        <w:ind w:firstLine="720"/>
        <w:jc w:val="both"/>
        <w:rPr>
          <w:b/>
        </w:rPr>
      </w:pPr>
      <w:r w:rsidRPr="00AB6090">
        <w:rPr>
          <w:b/>
        </w:rPr>
        <w:t>Prescriptions confirmées</w:t>
      </w:r>
      <w:r w:rsidR="00AF608B" w:rsidRPr="00AB6090">
        <w:rPr>
          <w:b/>
        </w:rPr>
        <w:t xml:space="preserve"> lors du collège 3 février 2016 : le collège a décidé de ne plus accepter </w:t>
      </w:r>
      <w:r>
        <w:rPr>
          <w:b/>
        </w:rPr>
        <w:t>l</w:t>
      </w:r>
      <w:r w:rsidR="00AF608B" w:rsidRPr="00AB6090">
        <w:rPr>
          <w:b/>
        </w:rPr>
        <w:t>a présence préventive de pompier sur place lors de grands feux, feux festifs, brûlage de bosses.</w:t>
      </w:r>
    </w:p>
    <w:p w14:paraId="4EE466ED" w14:textId="77777777" w:rsidR="00FB461E" w:rsidRPr="00AB6090" w:rsidRDefault="00FB461E" w:rsidP="0063032F">
      <w:pPr>
        <w:ind w:firstLine="720"/>
        <w:jc w:val="both"/>
        <w:rPr>
          <w:b/>
        </w:rPr>
      </w:pPr>
    </w:p>
    <w:p w14:paraId="4B64F3B1" w14:textId="77777777" w:rsidR="00AF608B" w:rsidRPr="00AB6090" w:rsidRDefault="00AF608B" w:rsidP="0063032F">
      <w:pPr>
        <w:pStyle w:val="Style2"/>
        <w:numPr>
          <w:ilvl w:val="1"/>
          <w:numId w:val="77"/>
        </w:numPr>
        <w:jc w:val="both"/>
        <w:outlineLvl w:val="1"/>
      </w:pPr>
      <w:bookmarkStart w:id="111" w:name="_Toc55899683"/>
      <w:bookmarkStart w:id="112" w:name="_Toc55900427"/>
      <w:bookmarkStart w:id="113" w:name="_Toc56426927"/>
      <w:r w:rsidRPr="00CE292C">
        <w:t>Meeting</w:t>
      </w:r>
      <w:r w:rsidRPr="00AB6090">
        <w:t xml:space="preserve"> aérien</w:t>
      </w:r>
      <w:bookmarkEnd w:id="111"/>
      <w:bookmarkEnd w:id="112"/>
      <w:bookmarkEnd w:id="113"/>
    </w:p>
    <w:p w14:paraId="7AE5A616" w14:textId="77777777" w:rsidR="00AF608B" w:rsidRPr="00AB6090" w:rsidRDefault="00AF608B" w:rsidP="0063032F">
      <w:pPr>
        <w:jc w:val="both"/>
      </w:pPr>
      <w:r w:rsidRPr="00AB6090">
        <w:t>Les spectacles aériens sont soumis aux prescriptions de la circulaire GDF06 de 04/1994 : « Prescriptions pour l’organisation de spectacles aériens civils ».  L’autorisation préalable du SPF Mobilité est requise.</w:t>
      </w:r>
    </w:p>
    <w:p w14:paraId="5721A38F" w14:textId="77777777" w:rsidR="00AF608B" w:rsidRPr="00AB6090" w:rsidRDefault="00AF608B" w:rsidP="0063032F">
      <w:pPr>
        <w:jc w:val="both"/>
      </w:pPr>
      <w:r w:rsidRPr="00AB6090">
        <w:t xml:space="preserve">Dans tous les cas, </w:t>
      </w:r>
      <w:r w:rsidRPr="00AB6090">
        <w:rPr>
          <w:u w:val="single"/>
        </w:rPr>
        <w:t>il y a lieu de demander l’avis de la zone de secours qui s’attachera à examiner les éléments suivants</w:t>
      </w:r>
      <w:r w:rsidRPr="00AB6090">
        <w:t xml:space="preserve"> : </w:t>
      </w:r>
    </w:p>
    <w:p w14:paraId="408C91AC" w14:textId="77777777" w:rsidR="00AF608B" w:rsidRPr="00AB6090" w:rsidRDefault="00AF608B" w:rsidP="0063032F">
      <w:pPr>
        <w:pStyle w:val="Paragraphedeliste"/>
        <w:numPr>
          <w:ilvl w:val="0"/>
          <w:numId w:val="33"/>
        </w:numPr>
        <w:jc w:val="both"/>
      </w:pPr>
      <w:r w:rsidRPr="00AB6090">
        <w:t xml:space="preserve">Le matériel nécessaire de lutte contre l’incendie </w:t>
      </w:r>
    </w:p>
    <w:p w14:paraId="6BBD3C76" w14:textId="77777777" w:rsidR="00AF608B" w:rsidRPr="00AB6090" w:rsidRDefault="00AF608B" w:rsidP="0063032F">
      <w:pPr>
        <w:pStyle w:val="Paragraphedeliste"/>
        <w:numPr>
          <w:ilvl w:val="0"/>
          <w:numId w:val="33"/>
        </w:numPr>
        <w:jc w:val="both"/>
      </w:pPr>
      <w:r w:rsidRPr="00AB6090">
        <w:t>L’accessibilité des services de secours</w:t>
      </w:r>
    </w:p>
    <w:p w14:paraId="05A38477"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139678B8" w14:textId="77777777" w:rsidR="00AF608B" w:rsidRPr="00AB6090" w:rsidRDefault="00AF608B" w:rsidP="0063032F">
      <w:pPr>
        <w:jc w:val="both"/>
      </w:pPr>
      <w:r w:rsidRPr="00AB6090">
        <w:t>La circulaire GDF-06 prévoit les dispositions suivantes relatives aux secours :</w:t>
      </w:r>
    </w:p>
    <w:p w14:paraId="0EA1F879" w14:textId="77777777" w:rsidR="00AF608B" w:rsidRPr="00AB6090" w:rsidRDefault="00AF608B" w:rsidP="0063032F">
      <w:pPr>
        <w:pStyle w:val="Paragraphedeliste"/>
        <w:numPr>
          <w:ilvl w:val="0"/>
          <w:numId w:val="34"/>
        </w:numPr>
        <w:jc w:val="both"/>
      </w:pPr>
      <w:r w:rsidRPr="00AB6090">
        <w:t xml:space="preserve">Pendant toute la durée du spectacle aérien, un médecin et des ambulances avec infirmiers et chauffeurs doivent être présents en nombre approprié. </w:t>
      </w:r>
    </w:p>
    <w:p w14:paraId="76C5F453" w14:textId="77777777" w:rsidR="00AF608B" w:rsidRPr="00AB6090" w:rsidRDefault="00AF608B" w:rsidP="0063032F">
      <w:pPr>
        <w:pStyle w:val="Paragraphedeliste"/>
        <w:numPr>
          <w:ilvl w:val="0"/>
          <w:numId w:val="34"/>
        </w:numPr>
        <w:jc w:val="both"/>
      </w:pPr>
      <w:r w:rsidRPr="00AB6090">
        <w:t xml:space="preserve">L’organisateur doit placer les aéronefs de façon à ce qu’ils ne constituent aucun obstacle pour les services de secours. </w:t>
      </w:r>
    </w:p>
    <w:p w14:paraId="233B011A" w14:textId="77777777" w:rsidR="00AF608B" w:rsidRPr="00AB6090" w:rsidRDefault="00AF608B" w:rsidP="0063032F">
      <w:pPr>
        <w:pStyle w:val="Paragraphedeliste"/>
        <w:numPr>
          <w:ilvl w:val="0"/>
          <w:numId w:val="34"/>
        </w:numPr>
        <w:jc w:val="both"/>
      </w:pPr>
      <w:r w:rsidRPr="00AB6090">
        <w:t xml:space="preserve">Il doit également fournir un plan d’urgence et premières mesures d’intervention. </w:t>
      </w:r>
    </w:p>
    <w:p w14:paraId="29A5FA1E" w14:textId="77777777" w:rsidR="00AF608B" w:rsidRPr="00AB6090" w:rsidRDefault="00AF608B" w:rsidP="0063032F">
      <w:pPr>
        <w:jc w:val="both"/>
      </w:pPr>
      <w:r w:rsidRPr="00AB6090">
        <w:t xml:space="preserve">En ce qui concerne l’équipe de soins médicaux, l’organisateur doit trouver un partenaire.  La zone de secours ne fournit pas ce genre de prestations. </w:t>
      </w:r>
    </w:p>
    <w:p w14:paraId="5F79292A" w14:textId="77777777" w:rsidR="00AF608B" w:rsidRPr="00AB6090" w:rsidRDefault="00AF608B" w:rsidP="0063032F">
      <w:pPr>
        <w:jc w:val="both"/>
      </w:pPr>
      <w:r w:rsidRPr="00AB6090">
        <w:t xml:space="preserve">D’autres dispositions à respecter par l’organisateur sont précisées dans la circulaire GDF-06, il appartient donc à l’organisateur de s’y référer. </w:t>
      </w:r>
    </w:p>
    <w:p w14:paraId="462D090C" w14:textId="77777777" w:rsidR="00AF608B" w:rsidRDefault="00AF608B" w:rsidP="0063032F">
      <w:pPr>
        <w:jc w:val="both"/>
      </w:pPr>
      <w:r w:rsidRPr="00AB6090">
        <w:t>Ces dispositions seront complétées par celles précisées par la zone de secours en fonction de l’analyse du dossier, puisqu’il est toujours nécessaire que la commune demande avis à la zone de secours.</w:t>
      </w:r>
    </w:p>
    <w:p w14:paraId="47745D96" w14:textId="77777777" w:rsidR="002126C4" w:rsidRPr="00AB6090" w:rsidRDefault="002126C4" w:rsidP="0063032F">
      <w:pPr>
        <w:jc w:val="both"/>
      </w:pPr>
    </w:p>
    <w:p w14:paraId="0DAFFC57" w14:textId="63126FB5" w:rsidR="00C37755" w:rsidRDefault="00C37755" w:rsidP="0063032F">
      <w:pPr>
        <w:pStyle w:val="Style2"/>
        <w:numPr>
          <w:ilvl w:val="1"/>
          <w:numId w:val="76"/>
        </w:numPr>
        <w:jc w:val="both"/>
        <w:outlineLvl w:val="1"/>
      </w:pPr>
      <w:bookmarkStart w:id="114" w:name="_Toc55899684"/>
      <w:bookmarkStart w:id="115" w:name="_Toc55900428"/>
      <w:bookmarkStart w:id="116" w:name="_Toc56426928"/>
      <w:r w:rsidRPr="00CE292C">
        <w:t>Sport</w:t>
      </w:r>
      <w:r w:rsidR="00140063" w:rsidRPr="00CE292C">
        <w:t>s</w:t>
      </w:r>
      <w:r>
        <w:t xml:space="preserve"> moteurs</w:t>
      </w:r>
      <w:bookmarkEnd w:id="114"/>
      <w:bookmarkEnd w:id="115"/>
      <w:bookmarkEnd w:id="116"/>
      <w:r>
        <w:t xml:space="preserve"> </w:t>
      </w:r>
    </w:p>
    <w:p w14:paraId="2D732509" w14:textId="0C9D1B43" w:rsidR="00AF608B" w:rsidRPr="00AB6090" w:rsidRDefault="00AF608B" w:rsidP="0063032F">
      <w:pPr>
        <w:pStyle w:val="Style3"/>
        <w:jc w:val="both"/>
        <w:outlineLvl w:val="2"/>
      </w:pPr>
      <w:bookmarkStart w:id="117" w:name="_Toc55899685"/>
      <w:bookmarkStart w:id="118" w:name="_Toc55900429"/>
      <w:bookmarkStart w:id="119" w:name="_Toc56426929"/>
      <w:r w:rsidRPr="00AB6090">
        <w:t>Rallye automobile et moto</w:t>
      </w:r>
      <w:bookmarkEnd w:id="117"/>
      <w:bookmarkEnd w:id="118"/>
      <w:bookmarkEnd w:id="119"/>
    </w:p>
    <w:p w14:paraId="35609340" w14:textId="77777777" w:rsidR="00AF608B" w:rsidRPr="00AB6090" w:rsidRDefault="00AF608B" w:rsidP="0063032F">
      <w:pPr>
        <w:jc w:val="both"/>
      </w:pPr>
      <w:r w:rsidRPr="00AB6090">
        <w:t xml:space="preserve">Les rallyes auto ou moto sont soumis aux prescriptions de la circulaire OOP255 du 01/04/2006.   </w:t>
      </w:r>
    </w:p>
    <w:p w14:paraId="54FDD4F1" w14:textId="77777777" w:rsidR="00AF608B" w:rsidRPr="00AB6090" w:rsidRDefault="00AF608B" w:rsidP="0063032F">
      <w:pPr>
        <w:jc w:val="both"/>
      </w:pPr>
      <w:r w:rsidRPr="00AB6090">
        <w:t xml:space="preserve"> Dans tous les cas, </w:t>
      </w:r>
      <w:r w:rsidRPr="00AB6090">
        <w:rPr>
          <w:u w:val="single"/>
        </w:rPr>
        <w:t>il y a lieu de demander l’avis de la zone de secours qui s’attachera à examiner les éléments suivants</w:t>
      </w:r>
      <w:r w:rsidRPr="00AB6090">
        <w:t xml:space="preserve"> : </w:t>
      </w:r>
    </w:p>
    <w:p w14:paraId="28DF0176" w14:textId="77777777" w:rsidR="00AF608B" w:rsidRPr="00AB6090" w:rsidRDefault="00AF608B" w:rsidP="0063032F">
      <w:pPr>
        <w:pStyle w:val="Paragraphedeliste"/>
        <w:numPr>
          <w:ilvl w:val="0"/>
          <w:numId w:val="35"/>
        </w:numPr>
        <w:jc w:val="both"/>
      </w:pPr>
      <w:r w:rsidRPr="00AB6090">
        <w:t>Le matériel nécessaire de lutte contre l’incendie et éventuellement de désincarcération</w:t>
      </w:r>
    </w:p>
    <w:p w14:paraId="0E47D287" w14:textId="77777777" w:rsidR="00AF608B" w:rsidRPr="00AB6090" w:rsidRDefault="00AF608B" w:rsidP="0063032F">
      <w:pPr>
        <w:pStyle w:val="Paragraphedeliste"/>
        <w:numPr>
          <w:ilvl w:val="0"/>
          <w:numId w:val="35"/>
        </w:numPr>
        <w:jc w:val="both"/>
      </w:pPr>
      <w:r w:rsidRPr="00AB6090">
        <w:t>L’accessibilité des services de secours</w:t>
      </w:r>
    </w:p>
    <w:p w14:paraId="74644388" w14:textId="77777777" w:rsidR="00876FBA" w:rsidRPr="00AB6090" w:rsidRDefault="00876FBA" w:rsidP="0063032F">
      <w:pPr>
        <w:pStyle w:val="Paragraphedeliste"/>
        <w:jc w:val="both"/>
      </w:pPr>
    </w:p>
    <w:p w14:paraId="4CE8EC4D" w14:textId="77777777" w:rsidR="00AF608B" w:rsidRDefault="00AF608B" w:rsidP="0063032F">
      <w:pPr>
        <w:jc w:val="both"/>
      </w:pPr>
      <w:r w:rsidRPr="00AB6090">
        <w:t xml:space="preserve">Une réunion de coordination multidisciplinaire sera obligatoirement organisée, et les mesures de sécurité et prescriptions y seront discutées.  </w:t>
      </w:r>
    </w:p>
    <w:p w14:paraId="62D036F7" w14:textId="542B1795" w:rsidR="00C37755" w:rsidRPr="00C37755" w:rsidRDefault="00C37755" w:rsidP="0063032F">
      <w:pPr>
        <w:pStyle w:val="Style3"/>
        <w:jc w:val="both"/>
        <w:outlineLvl w:val="2"/>
        <w:rPr>
          <w:sz w:val="10"/>
          <w:szCs w:val="18"/>
        </w:rPr>
      </w:pPr>
      <w:bookmarkStart w:id="120" w:name="_Toc55899686"/>
      <w:bookmarkStart w:id="121" w:name="_Toc55900430"/>
      <w:bookmarkStart w:id="122" w:name="_Toc56426930"/>
      <w:r w:rsidRPr="00C37755">
        <w:t>Autre</w:t>
      </w:r>
      <w:r>
        <w:t>s que rallye automobile et moto</w:t>
      </w:r>
      <w:bookmarkEnd w:id="120"/>
      <w:bookmarkEnd w:id="121"/>
      <w:bookmarkEnd w:id="122"/>
    </w:p>
    <w:p w14:paraId="0D2FDB72" w14:textId="77777777" w:rsidR="00443FB0" w:rsidRDefault="00C37755" w:rsidP="0063032F">
      <w:pPr>
        <w:jc w:val="both"/>
        <w:rPr>
          <w:szCs w:val="18"/>
        </w:rPr>
      </w:pPr>
      <w:r w:rsidRPr="0063367B">
        <w:rPr>
          <w:szCs w:val="18"/>
        </w:rPr>
        <w:t xml:space="preserve">Les présentes règles minimales de sécurité ne s’appliquent pas aux compétitions qui sont régies par la Loi rallye et la circulaire OOP 25 (organisation d’épreuves ou de compétitions sportives pour véhicules automobiles disputées en totalité ou en partie sur la voie publique). </w:t>
      </w:r>
    </w:p>
    <w:p w14:paraId="632A57A4"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2992208F" w14:textId="77777777" w:rsidR="0063367B" w:rsidRPr="00443FB0" w:rsidRDefault="00C37755" w:rsidP="0063032F">
      <w:pPr>
        <w:jc w:val="both"/>
        <w:rPr>
          <w:szCs w:val="18"/>
          <w:u w:val="single"/>
        </w:rPr>
      </w:pPr>
      <w:r w:rsidRPr="00443FB0">
        <w:rPr>
          <w:szCs w:val="18"/>
          <w:u w:val="single"/>
        </w:rPr>
        <w:t xml:space="preserve"> MESURES GÉNÉRALES CONCERNANT LES ÉPREUVES DE COMPÉTITION </w:t>
      </w:r>
    </w:p>
    <w:p w14:paraId="47EB73E5" w14:textId="77777777" w:rsidR="0063367B" w:rsidRDefault="00C37755" w:rsidP="0063032F">
      <w:pPr>
        <w:jc w:val="both"/>
        <w:rPr>
          <w:szCs w:val="18"/>
        </w:rPr>
      </w:pPr>
      <w:r w:rsidRPr="00C37755">
        <w:rPr>
          <w:szCs w:val="18"/>
        </w:rPr>
        <w:t>Prévention et sécurité du parcours</w:t>
      </w:r>
      <w:r w:rsidR="0063367B">
        <w:rPr>
          <w:szCs w:val="18"/>
        </w:rPr>
        <w:t> :</w:t>
      </w:r>
    </w:p>
    <w:p w14:paraId="0963C7DF" w14:textId="77777777" w:rsidR="0063367B" w:rsidRDefault="00C37755" w:rsidP="0063032F">
      <w:pPr>
        <w:pStyle w:val="Paragraphedeliste"/>
        <w:numPr>
          <w:ilvl w:val="0"/>
          <w:numId w:val="58"/>
        </w:numPr>
        <w:jc w:val="both"/>
        <w:rPr>
          <w:szCs w:val="18"/>
        </w:rPr>
      </w:pPr>
      <w:r w:rsidRPr="0063367B">
        <w:rPr>
          <w:szCs w:val="18"/>
        </w:rPr>
        <w:t xml:space="preserve"> Le parcours du slalom, auto-cross et kart-cross sera homologué le jour de l’épreuve. </w:t>
      </w:r>
    </w:p>
    <w:p w14:paraId="205652DF" w14:textId="77777777" w:rsidR="0063367B" w:rsidRDefault="00C37755" w:rsidP="0063032F">
      <w:pPr>
        <w:pStyle w:val="Paragraphedeliste"/>
        <w:numPr>
          <w:ilvl w:val="0"/>
          <w:numId w:val="58"/>
        </w:numPr>
        <w:jc w:val="both"/>
        <w:rPr>
          <w:szCs w:val="18"/>
        </w:rPr>
      </w:pPr>
      <w:r w:rsidRPr="0063367B">
        <w:rPr>
          <w:szCs w:val="18"/>
        </w:rPr>
        <w:t xml:space="preserve">Il est interdit d’utiliser des barrières métalliques pour contenir les spectateurs, sauf si ces </w:t>
      </w:r>
      <w:r w:rsidR="0063367B">
        <w:rPr>
          <w:szCs w:val="18"/>
        </w:rPr>
        <w:t>barrières sont installées suffi</w:t>
      </w:r>
      <w:r w:rsidRPr="0063367B">
        <w:rPr>
          <w:szCs w:val="18"/>
        </w:rPr>
        <w:t xml:space="preserve">samment en retrait de la route (distance minimum à déterminer par l’inspecteur de sécurité suivant la situation particulière). </w:t>
      </w:r>
    </w:p>
    <w:p w14:paraId="1DE88089" w14:textId="77777777" w:rsidR="0063367B" w:rsidRDefault="00C37755" w:rsidP="0063032F">
      <w:pPr>
        <w:pStyle w:val="Paragraphedeliste"/>
        <w:numPr>
          <w:ilvl w:val="0"/>
          <w:numId w:val="58"/>
        </w:numPr>
        <w:jc w:val="both"/>
        <w:rPr>
          <w:szCs w:val="18"/>
        </w:rPr>
      </w:pPr>
      <w:r w:rsidRPr="0063367B">
        <w:rPr>
          <w:szCs w:val="18"/>
        </w:rPr>
        <w:lastRenderedPageBreak/>
        <w:t xml:space="preserve"> Chaque poste sera équipé d’un extincteur (6kg) au minimum. Ces extincteurs porteront la </w:t>
      </w:r>
      <w:r w:rsidR="0063367B">
        <w:rPr>
          <w:szCs w:val="18"/>
        </w:rPr>
        <w:t>marque attestant de leur vérifi</w:t>
      </w:r>
      <w:r w:rsidRPr="0063367B">
        <w:rPr>
          <w:szCs w:val="18"/>
        </w:rPr>
        <w:t xml:space="preserve">cation annuelle ou de leur validité. Ils seront plombés et leurs équipements (tuyaux, gâchette, etc.) seront en bon état permettant le fonctionnement de ceux-ci en cas de nécessité. </w:t>
      </w:r>
    </w:p>
    <w:p w14:paraId="7977FC92" w14:textId="77777777" w:rsidR="0063367B" w:rsidRDefault="0063367B" w:rsidP="0063032F">
      <w:pPr>
        <w:pStyle w:val="Paragraphedeliste"/>
        <w:numPr>
          <w:ilvl w:val="0"/>
          <w:numId w:val="58"/>
        </w:numPr>
        <w:jc w:val="both"/>
        <w:rPr>
          <w:szCs w:val="18"/>
        </w:rPr>
      </w:pPr>
      <w:r>
        <w:rPr>
          <w:szCs w:val="18"/>
        </w:rPr>
        <w:t>I</w:t>
      </w:r>
      <w:r w:rsidR="00C37755" w:rsidRPr="0063367B">
        <w:rPr>
          <w:szCs w:val="18"/>
        </w:rPr>
        <w:t xml:space="preserve">l y aura lieu de garantir l’accès éventuel des services de secours au site de la manifestation (y compris le parc pilote) mais également aux riverains. L’accès prévu doit être libre sur une largeur et une hauteur de 4m. L’accès doit être carrossable et ce quelles que soient les conditions météorologiques. Si un tel accès n’était pas garanti avec certitude, il y aurait éventuellement lieu d’organiser le stationnement en conséquence </w:t>
      </w:r>
    </w:p>
    <w:p w14:paraId="63EF3DA9" w14:textId="77777777" w:rsidR="0063367B" w:rsidRDefault="00C37755" w:rsidP="0063032F">
      <w:pPr>
        <w:pStyle w:val="Paragraphedeliste"/>
        <w:numPr>
          <w:ilvl w:val="0"/>
          <w:numId w:val="58"/>
        </w:numPr>
        <w:jc w:val="both"/>
        <w:rPr>
          <w:szCs w:val="18"/>
        </w:rPr>
      </w:pPr>
      <w:r w:rsidRPr="0063367B">
        <w:rPr>
          <w:szCs w:val="18"/>
        </w:rPr>
        <w:t>Considérant l’utilisation d’essence pour les véhicules, il y aura lieu de pren</w:t>
      </w:r>
      <w:r w:rsidR="0063367B">
        <w:rPr>
          <w:szCs w:val="18"/>
        </w:rPr>
        <w:t>dre toutes les dispositions afi</w:t>
      </w:r>
      <w:r w:rsidRPr="0063367B">
        <w:rPr>
          <w:szCs w:val="18"/>
        </w:rPr>
        <w:t xml:space="preserve">n de limiter </w:t>
      </w:r>
      <w:r w:rsidR="0063367B">
        <w:rPr>
          <w:szCs w:val="18"/>
        </w:rPr>
        <w:t xml:space="preserve">le risque d’incendie : </w:t>
      </w:r>
    </w:p>
    <w:p w14:paraId="7734EE8C" w14:textId="77777777" w:rsidR="0063367B" w:rsidRDefault="00C37755" w:rsidP="0063032F">
      <w:pPr>
        <w:pStyle w:val="Paragraphedeliste"/>
        <w:numPr>
          <w:ilvl w:val="1"/>
          <w:numId w:val="58"/>
        </w:numPr>
        <w:jc w:val="both"/>
        <w:rPr>
          <w:szCs w:val="18"/>
        </w:rPr>
      </w:pPr>
      <w:r w:rsidRPr="0063367B">
        <w:rPr>
          <w:szCs w:val="18"/>
        </w:rPr>
        <w:t xml:space="preserve"> Stocker les réserves à un endroit non accessible au public et protégé du soleil et de la chaleur </w:t>
      </w:r>
    </w:p>
    <w:p w14:paraId="75732BB5" w14:textId="77777777" w:rsidR="0063367B" w:rsidRDefault="00C37755" w:rsidP="0063032F">
      <w:pPr>
        <w:pStyle w:val="Paragraphedeliste"/>
        <w:numPr>
          <w:ilvl w:val="1"/>
          <w:numId w:val="58"/>
        </w:numPr>
        <w:jc w:val="both"/>
        <w:rPr>
          <w:szCs w:val="18"/>
        </w:rPr>
      </w:pPr>
      <w:r w:rsidRPr="0063367B">
        <w:rPr>
          <w:szCs w:val="18"/>
        </w:rPr>
        <w:t xml:space="preserve">Interdiction de fumer à proximité des réserves </w:t>
      </w:r>
    </w:p>
    <w:p w14:paraId="73C26C82" w14:textId="77777777" w:rsidR="0063367B" w:rsidRDefault="00C37755" w:rsidP="0063032F">
      <w:pPr>
        <w:pStyle w:val="Paragraphedeliste"/>
        <w:numPr>
          <w:ilvl w:val="1"/>
          <w:numId w:val="58"/>
        </w:numPr>
        <w:jc w:val="both"/>
        <w:rPr>
          <w:szCs w:val="18"/>
        </w:rPr>
      </w:pPr>
      <w:r w:rsidRPr="0063367B">
        <w:rPr>
          <w:szCs w:val="18"/>
        </w:rPr>
        <w:t xml:space="preserve">Interdiction de fumer lors des ravitaillements et lors de toute manipulation des réserves d’essence </w:t>
      </w:r>
    </w:p>
    <w:p w14:paraId="3ABB489E" w14:textId="77777777" w:rsidR="0063367B" w:rsidRDefault="00C37755" w:rsidP="0063032F">
      <w:pPr>
        <w:pStyle w:val="Paragraphedeliste"/>
        <w:numPr>
          <w:ilvl w:val="1"/>
          <w:numId w:val="58"/>
        </w:numPr>
        <w:jc w:val="both"/>
        <w:rPr>
          <w:szCs w:val="18"/>
        </w:rPr>
      </w:pPr>
      <w:r w:rsidRPr="0063367B">
        <w:rPr>
          <w:szCs w:val="18"/>
        </w:rPr>
        <w:t xml:space="preserve">Ravitaillement après refroidissement des moteurs </w:t>
      </w:r>
    </w:p>
    <w:p w14:paraId="76BDBF9B" w14:textId="77777777" w:rsidR="0063367B" w:rsidRDefault="00C37755" w:rsidP="0063032F">
      <w:pPr>
        <w:pStyle w:val="Paragraphedeliste"/>
        <w:numPr>
          <w:ilvl w:val="1"/>
          <w:numId w:val="58"/>
        </w:numPr>
        <w:jc w:val="both"/>
        <w:rPr>
          <w:szCs w:val="18"/>
        </w:rPr>
      </w:pPr>
      <w:r w:rsidRPr="0063367B">
        <w:rPr>
          <w:szCs w:val="18"/>
        </w:rPr>
        <w:t>Utilisation d’un système type entonnoir ou autre</w:t>
      </w:r>
      <w:r w:rsidR="0063367B">
        <w:rPr>
          <w:szCs w:val="18"/>
        </w:rPr>
        <w:t xml:space="preserve"> afi</w:t>
      </w:r>
      <w:r w:rsidRPr="0063367B">
        <w:rPr>
          <w:szCs w:val="18"/>
        </w:rPr>
        <w:t xml:space="preserve">n de limiter les risques d’écoulement sur le sol </w:t>
      </w:r>
    </w:p>
    <w:p w14:paraId="2601476A" w14:textId="77777777" w:rsidR="0063367B" w:rsidRPr="00443FB0" w:rsidRDefault="00C37755" w:rsidP="0063032F">
      <w:pPr>
        <w:jc w:val="both"/>
        <w:rPr>
          <w:szCs w:val="18"/>
          <w:u w:val="single"/>
        </w:rPr>
      </w:pPr>
      <w:r w:rsidRPr="00443FB0">
        <w:rPr>
          <w:szCs w:val="18"/>
          <w:u w:val="single"/>
        </w:rPr>
        <w:t>RÈGLES PARTICULIÈRES</w:t>
      </w:r>
    </w:p>
    <w:p w14:paraId="24A05579" w14:textId="77777777" w:rsidR="0063367B" w:rsidRDefault="00C37755" w:rsidP="002126C4">
      <w:pPr>
        <w:pStyle w:val="Titre4"/>
        <w:pBdr>
          <w:top w:val="single" w:sz="4" w:space="1" w:color="auto"/>
          <w:left w:val="single" w:sz="4" w:space="4" w:color="auto"/>
          <w:bottom w:val="single" w:sz="4" w:space="1" w:color="auto"/>
          <w:right w:val="single" w:sz="4" w:space="4" w:color="auto"/>
        </w:pBdr>
        <w:jc w:val="both"/>
      </w:pPr>
      <w:bookmarkStart w:id="123" w:name="_Toc55899687"/>
      <w:bookmarkStart w:id="124" w:name="_Toc55900431"/>
      <w:r w:rsidRPr="0063367B">
        <w:t>Auto-cross/kart-cross</w:t>
      </w:r>
      <w:bookmarkEnd w:id="123"/>
      <w:bookmarkEnd w:id="124"/>
      <w:r w:rsidRPr="0063367B">
        <w:t xml:space="preserve"> </w:t>
      </w:r>
    </w:p>
    <w:p w14:paraId="154DCC7F" w14:textId="77777777" w:rsidR="0063367B" w:rsidRDefault="00C37755" w:rsidP="0063032F">
      <w:pPr>
        <w:pStyle w:val="Paragraphedeliste"/>
        <w:numPr>
          <w:ilvl w:val="0"/>
          <w:numId w:val="59"/>
        </w:numPr>
        <w:jc w:val="both"/>
        <w:rPr>
          <w:szCs w:val="18"/>
        </w:rPr>
      </w:pPr>
      <w:r w:rsidRPr="0063367B">
        <w:rPr>
          <w:szCs w:val="18"/>
        </w:rPr>
        <w:t xml:space="preserve">Les postes des commissaires de piste seront disposés tous les 200 mètres, à vue de la direction de course et de poste à poste. </w:t>
      </w:r>
    </w:p>
    <w:p w14:paraId="43A2040B" w14:textId="77777777" w:rsidR="0063367B" w:rsidRDefault="00C37755" w:rsidP="0063032F">
      <w:pPr>
        <w:pStyle w:val="Paragraphedeliste"/>
        <w:numPr>
          <w:ilvl w:val="0"/>
          <w:numId w:val="59"/>
        </w:numPr>
        <w:jc w:val="both"/>
        <w:rPr>
          <w:szCs w:val="18"/>
        </w:rPr>
      </w:pPr>
      <w:r w:rsidRPr="0063367B">
        <w:rPr>
          <w:szCs w:val="18"/>
        </w:rPr>
        <w:t xml:space="preserve">Une distance de 10 à 15 mètres sera maintenue entre le bord extérieur de la piste et les spectateurs. </w:t>
      </w:r>
    </w:p>
    <w:p w14:paraId="4BFDCD30" w14:textId="77777777" w:rsidR="0063367B" w:rsidRDefault="00C37755" w:rsidP="0063032F">
      <w:pPr>
        <w:pStyle w:val="Paragraphedeliste"/>
        <w:numPr>
          <w:ilvl w:val="0"/>
          <w:numId w:val="59"/>
        </w:numPr>
        <w:jc w:val="both"/>
        <w:rPr>
          <w:szCs w:val="18"/>
        </w:rPr>
      </w:pPr>
      <w:r w:rsidRPr="0063367B">
        <w:rPr>
          <w:szCs w:val="18"/>
        </w:rPr>
        <w:t xml:space="preserve">Considérant qu’un « parc pilote » est présent sur le site et donc que des personnes passeront la nuit sur place, il y a lieu de prévoir : </w:t>
      </w:r>
    </w:p>
    <w:p w14:paraId="633DBCF9" w14:textId="77777777" w:rsidR="0063367B" w:rsidRDefault="00C37755" w:rsidP="0063032F">
      <w:pPr>
        <w:pStyle w:val="Paragraphedeliste"/>
        <w:numPr>
          <w:ilvl w:val="1"/>
          <w:numId w:val="59"/>
        </w:numPr>
        <w:jc w:val="both"/>
        <w:rPr>
          <w:szCs w:val="18"/>
        </w:rPr>
      </w:pPr>
      <w:r w:rsidRPr="0063367B">
        <w:rPr>
          <w:szCs w:val="18"/>
        </w:rPr>
        <w:t>Un é</w:t>
      </w:r>
      <w:r w:rsidR="0063367B">
        <w:rPr>
          <w:szCs w:val="18"/>
        </w:rPr>
        <w:t>clairage de nuit, afi</w:t>
      </w:r>
      <w:r w:rsidRPr="0063367B">
        <w:rPr>
          <w:szCs w:val="18"/>
        </w:rPr>
        <w:t xml:space="preserve">n que le parc ne se trouve jamais dans le noir complet. </w:t>
      </w:r>
    </w:p>
    <w:p w14:paraId="63F23E58" w14:textId="77777777" w:rsidR="0063367B" w:rsidRDefault="00C37755" w:rsidP="0063032F">
      <w:pPr>
        <w:pStyle w:val="Paragraphedeliste"/>
        <w:numPr>
          <w:ilvl w:val="1"/>
          <w:numId w:val="59"/>
        </w:numPr>
        <w:jc w:val="both"/>
        <w:rPr>
          <w:szCs w:val="18"/>
        </w:rPr>
      </w:pPr>
      <w:r w:rsidRPr="0063367B">
        <w:rPr>
          <w:szCs w:val="18"/>
        </w:rPr>
        <w:t xml:space="preserve">Des moyens de premières interventions à proximité du parc ainsi que les pictogrammes ad hoc </w:t>
      </w:r>
      <w:proofErr w:type="spellStart"/>
      <w:r w:rsidRPr="0063367B">
        <w:rPr>
          <w:szCs w:val="18"/>
        </w:rPr>
        <w:t>afi</w:t>
      </w:r>
      <w:proofErr w:type="spellEnd"/>
      <w:r w:rsidRPr="0063367B">
        <w:rPr>
          <w:szCs w:val="18"/>
        </w:rPr>
        <w:t xml:space="preserve"> n que des personnes hors organisation puissent les trouver rapidement. </w:t>
      </w:r>
    </w:p>
    <w:p w14:paraId="69C083DF" w14:textId="77777777" w:rsidR="0063367B" w:rsidRDefault="00C37755" w:rsidP="0063032F">
      <w:pPr>
        <w:pStyle w:val="Paragraphedeliste"/>
        <w:numPr>
          <w:ilvl w:val="1"/>
          <w:numId w:val="59"/>
        </w:numPr>
        <w:jc w:val="both"/>
        <w:rPr>
          <w:szCs w:val="18"/>
        </w:rPr>
      </w:pPr>
      <w:r w:rsidRPr="0063367B">
        <w:rPr>
          <w:szCs w:val="18"/>
        </w:rPr>
        <w:t>Il va de soi que les consignes de sécurité applicables sur le site de la course le sont ég</w:t>
      </w:r>
      <w:r w:rsidR="0063367B">
        <w:rPr>
          <w:szCs w:val="18"/>
        </w:rPr>
        <w:t xml:space="preserve">alement sur le « parc pilote ». </w:t>
      </w:r>
    </w:p>
    <w:p w14:paraId="5F94A7A0" w14:textId="77777777" w:rsidR="0063367B" w:rsidRDefault="00C37755" w:rsidP="0063032F">
      <w:pPr>
        <w:pStyle w:val="Paragraphedeliste"/>
        <w:numPr>
          <w:ilvl w:val="1"/>
          <w:numId w:val="59"/>
        </w:numPr>
        <w:jc w:val="both"/>
        <w:rPr>
          <w:szCs w:val="18"/>
        </w:rPr>
      </w:pPr>
      <w:r w:rsidRPr="0063367B">
        <w:rPr>
          <w:szCs w:val="18"/>
        </w:rPr>
        <w:t>L’organisateur respectera stricto sensu toutes les prescriptio</w:t>
      </w:r>
      <w:r w:rsidR="0063367B" w:rsidRPr="0063367B">
        <w:rPr>
          <w:szCs w:val="18"/>
        </w:rPr>
        <w:t>ns sportives établies par l’association Sportive Automobile Francophone</w:t>
      </w:r>
    </w:p>
    <w:p w14:paraId="0DEF927E" w14:textId="77777777" w:rsidR="000D0B9F" w:rsidRDefault="00C37755" w:rsidP="0063032F">
      <w:pPr>
        <w:pStyle w:val="Paragraphedeliste"/>
        <w:numPr>
          <w:ilvl w:val="1"/>
          <w:numId w:val="59"/>
        </w:numPr>
        <w:jc w:val="both"/>
        <w:rPr>
          <w:szCs w:val="18"/>
        </w:rPr>
      </w:pPr>
      <w:r w:rsidRPr="0063367B">
        <w:rPr>
          <w:szCs w:val="18"/>
        </w:rPr>
        <w:t xml:space="preserve">Comme le prévoit le législateur, il est demandé tant aux organisateurs qu’à l’autorité administrative, de s’inspirer des dispositions prescrites dans l’OOP25 du 01/04/2006 du Ministère de l’Intérieur. En effet, même si le champ d’application de la circulaire porte « sur la réglementation de l’organisation d’épreuves ou de compétions sportives pour véhicules automobiles disputées en totalité ou en partie sur la voie publique », il appartient tant à l’organisateur qu’à l’autorité de s’en inspirer dès que « l’élément essentiel de la compétition est la vitesse ». </w:t>
      </w:r>
    </w:p>
    <w:p w14:paraId="16F106CE" w14:textId="77777777" w:rsidR="000D0B9F" w:rsidRDefault="00C37755" w:rsidP="002126C4">
      <w:pPr>
        <w:pStyle w:val="Titre4"/>
        <w:pBdr>
          <w:top w:val="single" w:sz="4" w:space="1" w:color="auto"/>
          <w:left w:val="single" w:sz="4" w:space="4" w:color="auto"/>
          <w:bottom w:val="single" w:sz="4" w:space="1" w:color="auto"/>
          <w:right w:val="single" w:sz="4" w:space="4" w:color="auto"/>
        </w:pBdr>
        <w:jc w:val="both"/>
      </w:pPr>
      <w:bookmarkStart w:id="125" w:name="_Toc55899688"/>
      <w:bookmarkStart w:id="126" w:name="_Toc55900432"/>
      <w:r w:rsidRPr="000D0B9F">
        <w:t>Slalom</w:t>
      </w:r>
      <w:bookmarkEnd w:id="125"/>
      <w:bookmarkEnd w:id="126"/>
      <w:r w:rsidRPr="000D0B9F">
        <w:t xml:space="preserve"> </w:t>
      </w:r>
    </w:p>
    <w:p w14:paraId="38B9273D" w14:textId="77777777" w:rsidR="000D0B9F" w:rsidRDefault="00C37755" w:rsidP="0063032F">
      <w:pPr>
        <w:pStyle w:val="Paragraphedeliste"/>
        <w:numPr>
          <w:ilvl w:val="0"/>
          <w:numId w:val="60"/>
        </w:numPr>
        <w:jc w:val="both"/>
        <w:rPr>
          <w:szCs w:val="18"/>
        </w:rPr>
      </w:pPr>
      <w:r w:rsidRPr="000D0B9F">
        <w:rPr>
          <w:szCs w:val="18"/>
        </w:rPr>
        <w:t xml:space="preserve">Un véhicule d’intervention se trouvera sur le parcours. Il sera équipé : </w:t>
      </w:r>
    </w:p>
    <w:p w14:paraId="716540A8" w14:textId="77777777" w:rsidR="000D0B9F" w:rsidRDefault="00C37755" w:rsidP="0063032F">
      <w:pPr>
        <w:pStyle w:val="Paragraphedeliste"/>
        <w:numPr>
          <w:ilvl w:val="1"/>
          <w:numId w:val="60"/>
        </w:numPr>
        <w:jc w:val="both"/>
        <w:rPr>
          <w:szCs w:val="18"/>
        </w:rPr>
      </w:pPr>
      <w:r w:rsidRPr="000D0B9F">
        <w:rPr>
          <w:szCs w:val="18"/>
        </w:rPr>
        <w:t xml:space="preserve">1 ou 2 feux bleus clignotant sur le toit </w:t>
      </w:r>
    </w:p>
    <w:p w14:paraId="495ABD07" w14:textId="77777777" w:rsidR="000D0B9F" w:rsidRDefault="00C37755" w:rsidP="0063032F">
      <w:pPr>
        <w:pStyle w:val="Paragraphedeliste"/>
        <w:numPr>
          <w:ilvl w:val="1"/>
          <w:numId w:val="60"/>
        </w:numPr>
        <w:jc w:val="both"/>
        <w:rPr>
          <w:szCs w:val="18"/>
        </w:rPr>
      </w:pPr>
      <w:r w:rsidRPr="000D0B9F">
        <w:rPr>
          <w:szCs w:val="18"/>
        </w:rPr>
        <w:t xml:space="preserve">1 poste radio fixe </w:t>
      </w:r>
    </w:p>
    <w:p w14:paraId="68B67678" w14:textId="77777777" w:rsidR="000D0B9F" w:rsidRDefault="00C37755" w:rsidP="0063032F">
      <w:pPr>
        <w:pStyle w:val="Paragraphedeliste"/>
        <w:numPr>
          <w:ilvl w:val="1"/>
          <w:numId w:val="60"/>
        </w:numPr>
        <w:jc w:val="both"/>
        <w:rPr>
          <w:szCs w:val="18"/>
        </w:rPr>
      </w:pPr>
      <w:r w:rsidRPr="000D0B9F">
        <w:rPr>
          <w:szCs w:val="18"/>
        </w:rPr>
        <w:t xml:space="preserve">2 extincteurs de 6kg minimum </w:t>
      </w:r>
    </w:p>
    <w:p w14:paraId="16FED276" w14:textId="77777777" w:rsidR="000D0B9F" w:rsidRDefault="00C37755" w:rsidP="0063032F">
      <w:pPr>
        <w:pStyle w:val="Paragraphedeliste"/>
        <w:numPr>
          <w:ilvl w:val="1"/>
          <w:numId w:val="60"/>
        </w:numPr>
        <w:jc w:val="both"/>
        <w:rPr>
          <w:szCs w:val="18"/>
        </w:rPr>
      </w:pPr>
      <w:r w:rsidRPr="000D0B9F">
        <w:rPr>
          <w:szCs w:val="18"/>
        </w:rPr>
        <w:t xml:space="preserve">1 couteau </w:t>
      </w:r>
    </w:p>
    <w:p w14:paraId="651B984F" w14:textId="77777777" w:rsidR="000D0B9F" w:rsidRDefault="00C37755" w:rsidP="0063032F">
      <w:pPr>
        <w:pStyle w:val="Paragraphedeliste"/>
        <w:numPr>
          <w:ilvl w:val="1"/>
          <w:numId w:val="60"/>
        </w:numPr>
        <w:jc w:val="both"/>
        <w:rPr>
          <w:szCs w:val="18"/>
        </w:rPr>
      </w:pPr>
      <w:r w:rsidRPr="000D0B9F">
        <w:rPr>
          <w:szCs w:val="18"/>
        </w:rPr>
        <w:t xml:space="preserve">1 couverture </w:t>
      </w:r>
    </w:p>
    <w:p w14:paraId="58A78731" w14:textId="77777777" w:rsidR="000D0B9F" w:rsidRDefault="00C37755" w:rsidP="0063032F">
      <w:pPr>
        <w:pStyle w:val="Paragraphedeliste"/>
        <w:numPr>
          <w:ilvl w:val="1"/>
          <w:numId w:val="60"/>
        </w:numPr>
        <w:jc w:val="both"/>
        <w:rPr>
          <w:szCs w:val="18"/>
        </w:rPr>
      </w:pPr>
      <w:r w:rsidRPr="000D0B9F">
        <w:rPr>
          <w:szCs w:val="18"/>
        </w:rPr>
        <w:t xml:space="preserve">1 câble de remorquage prêt à l’emploi </w:t>
      </w:r>
    </w:p>
    <w:p w14:paraId="2DA2D870" w14:textId="77777777" w:rsidR="000D0B9F" w:rsidRDefault="00C37755" w:rsidP="0063032F">
      <w:pPr>
        <w:pStyle w:val="Paragraphedeliste"/>
        <w:numPr>
          <w:ilvl w:val="1"/>
          <w:numId w:val="60"/>
        </w:numPr>
        <w:jc w:val="both"/>
        <w:rPr>
          <w:szCs w:val="18"/>
        </w:rPr>
      </w:pPr>
      <w:r w:rsidRPr="000D0B9F">
        <w:rPr>
          <w:szCs w:val="18"/>
        </w:rPr>
        <w:t xml:space="preserve">1 barre à mine + 1 pied de biche </w:t>
      </w:r>
    </w:p>
    <w:p w14:paraId="29B5C70E" w14:textId="77777777" w:rsidR="000D0B9F" w:rsidRDefault="00C37755" w:rsidP="0063032F">
      <w:pPr>
        <w:pStyle w:val="Paragraphedeliste"/>
        <w:numPr>
          <w:ilvl w:val="1"/>
          <w:numId w:val="60"/>
        </w:numPr>
        <w:jc w:val="both"/>
        <w:rPr>
          <w:szCs w:val="18"/>
        </w:rPr>
      </w:pPr>
      <w:r w:rsidRPr="000D0B9F">
        <w:rPr>
          <w:szCs w:val="18"/>
        </w:rPr>
        <w:t xml:space="preserve">1 cisaille + 1 scie à métaux </w:t>
      </w:r>
    </w:p>
    <w:p w14:paraId="4F2920E7" w14:textId="77777777" w:rsidR="000D0B9F" w:rsidRDefault="00C37755" w:rsidP="0063032F">
      <w:pPr>
        <w:pStyle w:val="Paragraphedeliste"/>
        <w:numPr>
          <w:ilvl w:val="1"/>
          <w:numId w:val="60"/>
        </w:numPr>
        <w:jc w:val="both"/>
        <w:rPr>
          <w:szCs w:val="18"/>
        </w:rPr>
      </w:pPr>
      <w:r w:rsidRPr="000D0B9F">
        <w:rPr>
          <w:szCs w:val="18"/>
        </w:rPr>
        <w:t xml:space="preserve">1 marteau de 1500gr </w:t>
      </w:r>
    </w:p>
    <w:p w14:paraId="48E07D6F" w14:textId="77777777" w:rsidR="000D0B9F" w:rsidRDefault="000D0B9F" w:rsidP="0063032F">
      <w:pPr>
        <w:pStyle w:val="Paragraphedeliste"/>
        <w:numPr>
          <w:ilvl w:val="1"/>
          <w:numId w:val="60"/>
        </w:numPr>
        <w:jc w:val="both"/>
        <w:rPr>
          <w:szCs w:val="18"/>
        </w:rPr>
      </w:pPr>
      <w:r>
        <w:rPr>
          <w:szCs w:val="18"/>
        </w:rPr>
        <w:t>1</w:t>
      </w:r>
      <w:r w:rsidR="00C37755" w:rsidRPr="000D0B9F">
        <w:rPr>
          <w:szCs w:val="18"/>
        </w:rPr>
        <w:t xml:space="preserve"> paire de gants de travail </w:t>
      </w:r>
    </w:p>
    <w:p w14:paraId="5A511AC5" w14:textId="77777777" w:rsidR="000D0B9F" w:rsidRDefault="000D0B9F" w:rsidP="0063032F">
      <w:pPr>
        <w:pStyle w:val="Paragraphedeliste"/>
        <w:numPr>
          <w:ilvl w:val="0"/>
          <w:numId w:val="60"/>
        </w:numPr>
        <w:jc w:val="both"/>
        <w:rPr>
          <w:szCs w:val="18"/>
        </w:rPr>
      </w:pPr>
      <w:r>
        <w:rPr>
          <w:szCs w:val="18"/>
        </w:rPr>
        <w:t>L’o</w:t>
      </w:r>
      <w:r w:rsidR="00C37755" w:rsidRPr="000D0B9F">
        <w:rPr>
          <w:szCs w:val="18"/>
        </w:rPr>
        <w:t xml:space="preserve">rganisateur respectera stricto sensu toutes les prescriptions sportives établies par l’ASAF, notamment dans « Les mesures générales </w:t>
      </w:r>
    </w:p>
    <w:p w14:paraId="22291DFA" w14:textId="77777777" w:rsidR="000D0B9F" w:rsidRDefault="00C37755" w:rsidP="002126C4">
      <w:pPr>
        <w:pStyle w:val="Titre4"/>
        <w:pBdr>
          <w:top w:val="single" w:sz="4" w:space="1" w:color="auto"/>
          <w:left w:val="single" w:sz="4" w:space="4" w:color="auto"/>
          <w:bottom w:val="single" w:sz="4" w:space="1" w:color="auto"/>
          <w:right w:val="single" w:sz="4" w:space="4" w:color="auto"/>
        </w:pBdr>
        <w:jc w:val="both"/>
      </w:pPr>
      <w:bookmarkStart w:id="127" w:name="_Toc55899689"/>
      <w:bookmarkStart w:id="128" w:name="_Toc55900433"/>
      <w:r w:rsidRPr="000D0B9F">
        <w:t>Moto-cross</w:t>
      </w:r>
      <w:bookmarkEnd w:id="127"/>
      <w:bookmarkEnd w:id="128"/>
      <w:r w:rsidRPr="000D0B9F">
        <w:t xml:space="preserve"> </w:t>
      </w:r>
    </w:p>
    <w:p w14:paraId="18AF19DC" w14:textId="77777777" w:rsidR="000D0B9F" w:rsidRDefault="00C37755" w:rsidP="0063032F">
      <w:pPr>
        <w:pStyle w:val="Paragraphedeliste"/>
        <w:numPr>
          <w:ilvl w:val="0"/>
          <w:numId w:val="61"/>
        </w:numPr>
        <w:jc w:val="both"/>
        <w:rPr>
          <w:szCs w:val="18"/>
        </w:rPr>
      </w:pPr>
      <w:r w:rsidRPr="000D0B9F">
        <w:rPr>
          <w:szCs w:val="18"/>
        </w:rPr>
        <w:t xml:space="preserve">Le circuit sera délimité sur toute sa longueur au moyen d’une double rangée de corde. </w:t>
      </w:r>
    </w:p>
    <w:p w14:paraId="1366735C" w14:textId="77777777" w:rsidR="000D0B9F" w:rsidRDefault="00C37755" w:rsidP="0063032F">
      <w:pPr>
        <w:pStyle w:val="Paragraphedeliste"/>
        <w:numPr>
          <w:ilvl w:val="0"/>
          <w:numId w:val="61"/>
        </w:numPr>
        <w:jc w:val="both"/>
        <w:rPr>
          <w:szCs w:val="18"/>
        </w:rPr>
      </w:pPr>
      <w:r w:rsidRPr="000D0B9F">
        <w:rPr>
          <w:szCs w:val="18"/>
        </w:rPr>
        <w:t xml:space="preserve">Pour la sécurité du public, la 2ème rangée de corde devra se trouver à 1,5 mètre minimum de la piste intérieure. </w:t>
      </w:r>
    </w:p>
    <w:p w14:paraId="7FA46FC8" w14:textId="77777777" w:rsidR="000D0B9F" w:rsidRDefault="00C37755" w:rsidP="0063032F">
      <w:pPr>
        <w:pStyle w:val="Paragraphedeliste"/>
        <w:numPr>
          <w:ilvl w:val="0"/>
          <w:numId w:val="61"/>
        </w:numPr>
        <w:jc w:val="both"/>
        <w:rPr>
          <w:szCs w:val="18"/>
        </w:rPr>
      </w:pPr>
      <w:r w:rsidRPr="000D0B9F">
        <w:rPr>
          <w:szCs w:val="18"/>
        </w:rPr>
        <w:t xml:space="preserve">Les zones interdites seront indiquées par des panneaux « zones interdites » et ces zones dangereuses seront obligatoirement entravées en tous sens par de la ficelle ou des bandes blanches. </w:t>
      </w:r>
    </w:p>
    <w:p w14:paraId="40F2A0E8" w14:textId="77777777" w:rsidR="000D0B9F" w:rsidRDefault="00C37755" w:rsidP="0063032F">
      <w:pPr>
        <w:pStyle w:val="Paragraphedeliste"/>
        <w:numPr>
          <w:ilvl w:val="0"/>
          <w:numId w:val="61"/>
        </w:numPr>
        <w:jc w:val="both"/>
        <w:rPr>
          <w:szCs w:val="18"/>
        </w:rPr>
      </w:pPr>
      <w:r w:rsidRPr="000D0B9F">
        <w:rPr>
          <w:szCs w:val="18"/>
        </w:rPr>
        <w:t xml:space="preserve">Les parkings, chapiteaux et autres infrastructures devront se trouver au moins à 10 mètres de la piste. </w:t>
      </w:r>
    </w:p>
    <w:p w14:paraId="2DF8F0C0" w14:textId="77777777" w:rsidR="000D0B9F" w:rsidRDefault="00C37755" w:rsidP="0063032F">
      <w:pPr>
        <w:pStyle w:val="Paragraphedeliste"/>
        <w:numPr>
          <w:ilvl w:val="0"/>
          <w:numId w:val="61"/>
        </w:numPr>
        <w:jc w:val="both"/>
        <w:rPr>
          <w:szCs w:val="18"/>
        </w:rPr>
      </w:pPr>
      <w:r w:rsidRPr="000D0B9F">
        <w:rPr>
          <w:szCs w:val="18"/>
        </w:rPr>
        <w:t xml:space="preserve">Considérant qu’un « parc pilote » est présent sur le site et donc que des personnes passeront la nuit sur place, il y a lieu de prévoir : </w:t>
      </w:r>
    </w:p>
    <w:p w14:paraId="0D0CAA46" w14:textId="77777777" w:rsidR="000D0B9F" w:rsidRDefault="00C37755" w:rsidP="0063032F">
      <w:pPr>
        <w:pStyle w:val="Paragraphedeliste"/>
        <w:numPr>
          <w:ilvl w:val="1"/>
          <w:numId w:val="61"/>
        </w:numPr>
        <w:jc w:val="both"/>
        <w:rPr>
          <w:szCs w:val="18"/>
        </w:rPr>
      </w:pPr>
      <w:r w:rsidRPr="000D0B9F">
        <w:rPr>
          <w:szCs w:val="18"/>
        </w:rPr>
        <w:t xml:space="preserve">Un éclairage de nuit, afin que le parc ne se trouve jamais dans le noir complet. </w:t>
      </w:r>
    </w:p>
    <w:p w14:paraId="212B52E6" w14:textId="77777777" w:rsidR="000D0B9F" w:rsidRDefault="00C37755" w:rsidP="0063032F">
      <w:pPr>
        <w:pStyle w:val="Paragraphedeliste"/>
        <w:numPr>
          <w:ilvl w:val="1"/>
          <w:numId w:val="61"/>
        </w:numPr>
        <w:jc w:val="both"/>
        <w:rPr>
          <w:szCs w:val="18"/>
        </w:rPr>
      </w:pPr>
      <w:r w:rsidRPr="000D0B9F">
        <w:rPr>
          <w:szCs w:val="18"/>
        </w:rPr>
        <w:t xml:space="preserve">Des moyens de première intervention à proximité du parc ainsi que les pictogrammes ad hoc afin que des personnes hors organisations puissent les trouver rapidement. </w:t>
      </w:r>
    </w:p>
    <w:p w14:paraId="029611E7" w14:textId="77777777" w:rsidR="000D0B9F" w:rsidRDefault="00C37755" w:rsidP="0063032F">
      <w:pPr>
        <w:pStyle w:val="Paragraphedeliste"/>
        <w:numPr>
          <w:ilvl w:val="1"/>
          <w:numId w:val="61"/>
        </w:numPr>
        <w:jc w:val="both"/>
        <w:rPr>
          <w:szCs w:val="18"/>
        </w:rPr>
      </w:pPr>
      <w:r w:rsidRPr="000D0B9F">
        <w:rPr>
          <w:szCs w:val="18"/>
        </w:rPr>
        <w:t xml:space="preserve">Il va de soi que les consignes de sécurité applicables sur le site de la course le sont également sur le « parc pilote ». </w:t>
      </w:r>
    </w:p>
    <w:p w14:paraId="1B354D95" w14:textId="77777777" w:rsidR="000D0B9F" w:rsidRPr="00443FB0" w:rsidRDefault="00C37755" w:rsidP="0063032F">
      <w:pPr>
        <w:jc w:val="both"/>
        <w:rPr>
          <w:szCs w:val="18"/>
          <w:u w:val="single"/>
        </w:rPr>
      </w:pPr>
      <w:r w:rsidRPr="00443FB0">
        <w:rPr>
          <w:szCs w:val="18"/>
          <w:u w:val="single"/>
        </w:rPr>
        <w:t xml:space="preserve">MESURES CONCERNANT LES RANDONNÉES MOTORISÉES </w:t>
      </w:r>
    </w:p>
    <w:p w14:paraId="41332BE1" w14:textId="77777777" w:rsidR="000D0B9F" w:rsidRDefault="00C37755" w:rsidP="0063032F">
      <w:pPr>
        <w:pStyle w:val="Paragraphedeliste"/>
        <w:numPr>
          <w:ilvl w:val="0"/>
          <w:numId w:val="62"/>
        </w:numPr>
        <w:jc w:val="both"/>
        <w:rPr>
          <w:szCs w:val="18"/>
        </w:rPr>
      </w:pPr>
      <w:r w:rsidRPr="000D0B9F">
        <w:rPr>
          <w:szCs w:val="18"/>
        </w:rPr>
        <w:t xml:space="preserve">La sécurisation des traversées de routes pouvant représenter un danger pour les participants, elle sera réalisée par des barrières Nadar ou tout autre dispositif permettant de matérialiser un dispositif de ralentissement. </w:t>
      </w:r>
    </w:p>
    <w:p w14:paraId="178CF2F5" w14:textId="77777777" w:rsidR="008117ED" w:rsidRDefault="000D0B9F" w:rsidP="0063032F">
      <w:pPr>
        <w:pStyle w:val="Paragraphedeliste"/>
        <w:numPr>
          <w:ilvl w:val="0"/>
          <w:numId w:val="62"/>
        </w:numPr>
        <w:jc w:val="both"/>
        <w:rPr>
          <w:szCs w:val="18"/>
        </w:rPr>
      </w:pPr>
      <w:r>
        <w:rPr>
          <w:szCs w:val="18"/>
        </w:rPr>
        <w:t>U</w:t>
      </w:r>
      <w:r w:rsidR="00C37755" w:rsidRPr="000D0B9F">
        <w:rPr>
          <w:szCs w:val="18"/>
        </w:rPr>
        <w:t xml:space="preserve">ne signalisation sera mise en place aux endroits à risques afin d’avertir les participants et les usagers de la route de la manière suivante : </w:t>
      </w:r>
    </w:p>
    <w:p w14:paraId="2186E125" w14:textId="77777777" w:rsidR="008117ED" w:rsidRDefault="00C37755" w:rsidP="0063032F">
      <w:pPr>
        <w:pStyle w:val="Paragraphedeliste"/>
        <w:numPr>
          <w:ilvl w:val="1"/>
          <w:numId w:val="62"/>
        </w:numPr>
        <w:jc w:val="both"/>
        <w:rPr>
          <w:szCs w:val="18"/>
        </w:rPr>
      </w:pPr>
      <w:r w:rsidRPr="000D0B9F">
        <w:rPr>
          <w:szCs w:val="18"/>
        </w:rPr>
        <w:lastRenderedPageBreak/>
        <w:t xml:space="preserve">Les participants seront avertis au moins 100 mètres avant les carrefours (à adapter suivant les spécificités du terrain). </w:t>
      </w:r>
    </w:p>
    <w:p w14:paraId="0E494ABD" w14:textId="77777777" w:rsidR="008117ED" w:rsidRDefault="00C37755" w:rsidP="0063032F">
      <w:pPr>
        <w:pStyle w:val="Paragraphedeliste"/>
        <w:numPr>
          <w:ilvl w:val="1"/>
          <w:numId w:val="62"/>
        </w:numPr>
        <w:jc w:val="both"/>
        <w:rPr>
          <w:szCs w:val="18"/>
        </w:rPr>
      </w:pPr>
      <w:r w:rsidRPr="000D0B9F">
        <w:rPr>
          <w:szCs w:val="18"/>
        </w:rPr>
        <w:t xml:space="preserve">Les usagers de la route seront avertis au moins 200 mètres avant les carrefours avec des panneaux suffisamment visibles et dans les deux sens de circulation. Sur les routes nationales, une lampe de signalisation de couleur orange sera placée en plus des panneaux de danger. </w:t>
      </w:r>
    </w:p>
    <w:p w14:paraId="1B68D996" w14:textId="77777777" w:rsidR="008117ED" w:rsidRDefault="00C37755" w:rsidP="0063032F">
      <w:pPr>
        <w:pStyle w:val="Paragraphedeliste"/>
        <w:numPr>
          <w:ilvl w:val="0"/>
          <w:numId w:val="62"/>
        </w:numPr>
        <w:jc w:val="both"/>
        <w:rPr>
          <w:szCs w:val="18"/>
        </w:rPr>
      </w:pPr>
      <w:r w:rsidRPr="000D0B9F">
        <w:rPr>
          <w:szCs w:val="18"/>
        </w:rPr>
        <w:t xml:space="preserve">La randonnée ne pourra en aucun cas générer un risque (chaussées rendues glissantes par de la boue ou toute autre matière qui pourrait être déposée par les participants). </w:t>
      </w:r>
    </w:p>
    <w:p w14:paraId="6EE45842" w14:textId="77777777" w:rsidR="008117ED" w:rsidRDefault="00C37755" w:rsidP="0063032F">
      <w:pPr>
        <w:pStyle w:val="Paragraphedeliste"/>
        <w:numPr>
          <w:ilvl w:val="0"/>
          <w:numId w:val="62"/>
        </w:numPr>
        <w:jc w:val="both"/>
        <w:rPr>
          <w:szCs w:val="18"/>
        </w:rPr>
      </w:pPr>
      <w:r w:rsidRPr="000D0B9F">
        <w:rPr>
          <w:szCs w:val="18"/>
        </w:rPr>
        <w:t xml:space="preserve">Considérant l’importance de l’alerte lors d’activité de randonnée (compétitive ou non), il est indispensable de pouvoir se localiser et prévenir les secours le plus rapidement possible. Les mesures suivantes seront à prendre en considération : </w:t>
      </w:r>
    </w:p>
    <w:p w14:paraId="24AC4A9C" w14:textId="77777777" w:rsidR="008117ED" w:rsidRDefault="00C37755" w:rsidP="0063032F">
      <w:pPr>
        <w:pStyle w:val="Paragraphedeliste"/>
        <w:numPr>
          <w:ilvl w:val="1"/>
          <w:numId w:val="62"/>
        </w:numPr>
        <w:jc w:val="both"/>
        <w:rPr>
          <w:szCs w:val="18"/>
        </w:rPr>
      </w:pPr>
      <w:r w:rsidRPr="000D0B9F">
        <w:rPr>
          <w:szCs w:val="18"/>
        </w:rPr>
        <w:t xml:space="preserve">le règlement de l’organisation conseillera aux participants d’emporter un GSM avec eux (hors situation de compétition). </w:t>
      </w:r>
    </w:p>
    <w:p w14:paraId="0245914E" w14:textId="77777777" w:rsidR="008117ED" w:rsidRDefault="00C37755" w:rsidP="0063032F">
      <w:pPr>
        <w:pStyle w:val="Paragraphedeliste"/>
        <w:numPr>
          <w:ilvl w:val="1"/>
          <w:numId w:val="62"/>
        </w:numPr>
        <w:jc w:val="both"/>
        <w:rPr>
          <w:szCs w:val="18"/>
        </w:rPr>
      </w:pPr>
      <w:r w:rsidRPr="000D0B9F">
        <w:rPr>
          <w:szCs w:val="18"/>
        </w:rPr>
        <w:t xml:space="preserve">le port d’un dossard avec les coordonnées de l’organisateur est vivement conseillé. </w:t>
      </w:r>
    </w:p>
    <w:p w14:paraId="634C456B" w14:textId="77777777" w:rsidR="008117ED" w:rsidRDefault="00C37755" w:rsidP="0063032F">
      <w:pPr>
        <w:pStyle w:val="Paragraphedeliste"/>
        <w:numPr>
          <w:ilvl w:val="1"/>
          <w:numId w:val="62"/>
        </w:numPr>
        <w:jc w:val="both"/>
        <w:rPr>
          <w:szCs w:val="18"/>
        </w:rPr>
      </w:pPr>
      <w:r w:rsidRPr="000D0B9F">
        <w:rPr>
          <w:szCs w:val="18"/>
        </w:rPr>
        <w:t xml:space="preserve">des panneaux de repérage kilométrique avec indication du n° de GSM de l’organisateur, logo de l’organisation et le n°112 seront apposés le long du parcours: </w:t>
      </w:r>
    </w:p>
    <w:p w14:paraId="2703FF0C" w14:textId="77777777" w:rsidR="008117ED" w:rsidRDefault="00C37755" w:rsidP="0063032F">
      <w:pPr>
        <w:pStyle w:val="Paragraphedeliste"/>
        <w:numPr>
          <w:ilvl w:val="2"/>
          <w:numId w:val="62"/>
        </w:numPr>
        <w:jc w:val="both"/>
        <w:rPr>
          <w:szCs w:val="18"/>
        </w:rPr>
      </w:pPr>
      <w:r w:rsidRPr="000D0B9F">
        <w:rPr>
          <w:szCs w:val="18"/>
        </w:rPr>
        <w:t xml:space="preserve">tous les 5 kms pour les activités motorisées. </w:t>
      </w:r>
    </w:p>
    <w:p w14:paraId="6BAA03B1" w14:textId="77777777" w:rsidR="008117ED" w:rsidRDefault="00C37755" w:rsidP="0063032F">
      <w:pPr>
        <w:pStyle w:val="Paragraphedeliste"/>
        <w:numPr>
          <w:ilvl w:val="0"/>
          <w:numId w:val="62"/>
        </w:numPr>
        <w:jc w:val="both"/>
        <w:rPr>
          <w:szCs w:val="18"/>
        </w:rPr>
      </w:pPr>
      <w:r w:rsidRPr="008117ED">
        <w:rPr>
          <w:szCs w:val="18"/>
        </w:rPr>
        <w:t xml:space="preserve">Un véhicule de sécurité « Marshal » devra accompagner régulièrement les différents groupes de participants à raison de +/- un véhicule tous les 30 participants. </w:t>
      </w:r>
    </w:p>
    <w:p w14:paraId="287890D6" w14:textId="77777777" w:rsidR="008117ED" w:rsidRDefault="00C37755" w:rsidP="0063032F">
      <w:pPr>
        <w:pStyle w:val="Paragraphedeliste"/>
        <w:numPr>
          <w:ilvl w:val="0"/>
          <w:numId w:val="62"/>
        </w:numPr>
        <w:jc w:val="both"/>
        <w:rPr>
          <w:szCs w:val="18"/>
        </w:rPr>
      </w:pPr>
      <w:r w:rsidRPr="008117ED">
        <w:rPr>
          <w:szCs w:val="18"/>
        </w:rPr>
        <w:t xml:space="preserve">Un véhicule « Balais » devra fermer la randonnée afin de vérifier qu’aucun participant n’est en péril. </w:t>
      </w:r>
    </w:p>
    <w:p w14:paraId="7F728927" w14:textId="77777777" w:rsidR="008117ED" w:rsidRDefault="00C37755" w:rsidP="0063032F">
      <w:pPr>
        <w:pStyle w:val="Paragraphedeliste"/>
        <w:numPr>
          <w:ilvl w:val="0"/>
          <w:numId w:val="62"/>
        </w:numPr>
        <w:jc w:val="both"/>
        <w:rPr>
          <w:szCs w:val="18"/>
        </w:rPr>
      </w:pPr>
      <w:r w:rsidRPr="008117ED">
        <w:rPr>
          <w:szCs w:val="18"/>
        </w:rPr>
        <w:t xml:space="preserve">Un véhicule tout terrain devra être dédié à l’aide des services de secours, celui-ci devra définir les points de rendez-vous avec les services de secours et les guider vers l’incident ou l’accident éventuel. </w:t>
      </w:r>
    </w:p>
    <w:p w14:paraId="05D933A9" w14:textId="77777777" w:rsidR="008117ED" w:rsidRDefault="00C37755" w:rsidP="0063032F">
      <w:pPr>
        <w:pStyle w:val="Paragraphedeliste"/>
        <w:numPr>
          <w:ilvl w:val="0"/>
          <w:numId w:val="62"/>
        </w:numPr>
        <w:jc w:val="both"/>
        <w:rPr>
          <w:szCs w:val="18"/>
        </w:rPr>
      </w:pPr>
      <w:r w:rsidRPr="008117ED">
        <w:rPr>
          <w:szCs w:val="18"/>
        </w:rPr>
        <w:t xml:space="preserve">Lors du fléchage du parcours dans les bois, il conviendra d’être particulièrement attentif au danger que représentent les chutes de branches et même d’arbres. Le danger devra être écarté ou l’itinéraire du parcours modifié. </w:t>
      </w:r>
    </w:p>
    <w:p w14:paraId="524A767A" w14:textId="2B4D6379" w:rsidR="00C37755" w:rsidRDefault="00C37755" w:rsidP="0063032F">
      <w:pPr>
        <w:pStyle w:val="Paragraphedeliste"/>
        <w:numPr>
          <w:ilvl w:val="0"/>
          <w:numId w:val="62"/>
        </w:numPr>
        <w:jc w:val="both"/>
        <w:rPr>
          <w:szCs w:val="18"/>
        </w:rPr>
      </w:pPr>
      <w:r w:rsidRPr="008117ED">
        <w:rPr>
          <w:szCs w:val="18"/>
        </w:rPr>
        <w:t>Afin de disposer de toutes les informations nécessaires à la bonne gestion d’une intervention des services de secours extérieurs, une cartographie sous forme de crash-</w:t>
      </w:r>
      <w:proofErr w:type="spellStart"/>
      <w:r w:rsidRPr="008117ED">
        <w:rPr>
          <w:szCs w:val="18"/>
        </w:rPr>
        <w:t>map</w:t>
      </w:r>
      <w:proofErr w:type="spellEnd"/>
      <w:r w:rsidRPr="008117ED">
        <w:rPr>
          <w:szCs w:val="18"/>
        </w:rPr>
        <w:t xml:space="preserve"> sera transmise à la Zone de Secours. La crash-</w:t>
      </w:r>
      <w:proofErr w:type="spellStart"/>
      <w:r w:rsidRPr="008117ED">
        <w:rPr>
          <w:szCs w:val="18"/>
        </w:rPr>
        <w:t>map</w:t>
      </w:r>
      <w:proofErr w:type="spellEnd"/>
      <w:r w:rsidRPr="008117ED">
        <w:rPr>
          <w:szCs w:val="18"/>
        </w:rPr>
        <w:t xml:space="preserve"> des parcours sera adaptée avec indication des repères kilométriques et les voies d’accès carrossables les plus proches pour les véhicules d’intervention.</w:t>
      </w:r>
    </w:p>
    <w:p w14:paraId="5637123E" w14:textId="77777777" w:rsidR="002126C4" w:rsidRDefault="002126C4" w:rsidP="002126C4">
      <w:pPr>
        <w:pStyle w:val="Paragraphedeliste"/>
        <w:jc w:val="both"/>
        <w:rPr>
          <w:szCs w:val="18"/>
        </w:rPr>
      </w:pPr>
    </w:p>
    <w:p w14:paraId="00A60B6B" w14:textId="77777777" w:rsidR="00AF608B" w:rsidRPr="00AB6090" w:rsidRDefault="00AF608B" w:rsidP="0063032F">
      <w:pPr>
        <w:pStyle w:val="Style2"/>
        <w:numPr>
          <w:ilvl w:val="1"/>
          <w:numId w:val="78"/>
        </w:numPr>
        <w:jc w:val="both"/>
        <w:outlineLvl w:val="1"/>
      </w:pPr>
      <w:bookmarkStart w:id="129" w:name="_Toc55899690"/>
      <w:bookmarkStart w:id="130" w:name="_Toc55900434"/>
      <w:bookmarkStart w:id="131" w:name="_Toc56426931"/>
      <w:r w:rsidRPr="00AB6090">
        <w:t>Utilisation de poudre noire</w:t>
      </w:r>
      <w:bookmarkEnd w:id="129"/>
      <w:bookmarkEnd w:id="130"/>
      <w:bookmarkEnd w:id="131"/>
    </w:p>
    <w:p w14:paraId="7D10AF94" w14:textId="06995B60" w:rsidR="00AF608B" w:rsidRDefault="00AF608B" w:rsidP="0063032F">
      <w:pPr>
        <w:jc w:val="both"/>
      </w:pPr>
      <w:r w:rsidRPr="00AB6090">
        <w:t>Dans tous les cas, lorsque de la poudre noire est utilisée lors de festivités, il faudra demander l’avis de la zone de secours.</w:t>
      </w:r>
    </w:p>
    <w:p w14:paraId="616EA3EA"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6C29C875" w14:textId="77777777" w:rsidR="00AF608B" w:rsidRPr="00AB6090" w:rsidRDefault="00AF608B" w:rsidP="0063032F">
      <w:pPr>
        <w:jc w:val="both"/>
      </w:pPr>
      <w:r w:rsidRPr="00AB6090">
        <w:t xml:space="preserve">Au minimum, les prescriptions suivantes seront respectées </w:t>
      </w:r>
    </w:p>
    <w:p w14:paraId="19FC197B" w14:textId="77777777" w:rsidR="00AF608B" w:rsidRPr="00AB6090" w:rsidRDefault="00AF608B" w:rsidP="0063032F">
      <w:pPr>
        <w:pStyle w:val="Paragraphedeliste"/>
        <w:numPr>
          <w:ilvl w:val="0"/>
          <w:numId w:val="36"/>
        </w:numPr>
        <w:jc w:val="both"/>
      </w:pPr>
      <w:r w:rsidRPr="00AB6090">
        <w:t xml:space="preserve">L’association utilisant la poudre noire (ex : société folklorique) éditera un règlement d’ordre intérieur qui précise les règles de sécurité à respecter ; </w:t>
      </w:r>
    </w:p>
    <w:p w14:paraId="776A4997" w14:textId="77777777" w:rsidR="00AF608B" w:rsidRPr="00AB6090" w:rsidRDefault="00AF608B" w:rsidP="0063032F">
      <w:pPr>
        <w:pStyle w:val="Paragraphedeliste"/>
        <w:numPr>
          <w:ilvl w:val="0"/>
          <w:numId w:val="36"/>
        </w:numPr>
        <w:jc w:val="both"/>
      </w:pPr>
      <w:r w:rsidRPr="00AB6090">
        <w:t xml:space="preserve">L’organisateur réalisera une analyse de risques et mettra en place les mesures de sécurité qui en découlent ; </w:t>
      </w:r>
    </w:p>
    <w:p w14:paraId="439611C1" w14:textId="77777777" w:rsidR="00AF608B" w:rsidRDefault="00AF608B" w:rsidP="0063032F">
      <w:pPr>
        <w:pStyle w:val="Paragraphedeliste"/>
        <w:numPr>
          <w:ilvl w:val="0"/>
          <w:numId w:val="36"/>
        </w:numPr>
        <w:jc w:val="both"/>
      </w:pPr>
      <w:r w:rsidRPr="00AB6090">
        <w:t>La réserve éventuelle de poudre noire sera limitée et déclarée, l’organisateur prendra les mesures de sécurité nécessaires.  Au strict minimum, il fera respecter une interdiction de fumer, d’utiliser ou stocker des produits inflammables, il restreindra l’accès à la poudre noire et au lieu d’entreposage</w:t>
      </w:r>
    </w:p>
    <w:p w14:paraId="5193F18C" w14:textId="77777777" w:rsidR="002126C4" w:rsidRDefault="002126C4" w:rsidP="002126C4">
      <w:pPr>
        <w:pStyle w:val="Paragraphedeliste"/>
        <w:jc w:val="both"/>
      </w:pPr>
    </w:p>
    <w:p w14:paraId="04346157" w14:textId="164A8C7D" w:rsidR="00613D81" w:rsidRDefault="00613D81" w:rsidP="0063032F">
      <w:pPr>
        <w:pStyle w:val="Style2"/>
        <w:jc w:val="both"/>
        <w:outlineLvl w:val="1"/>
      </w:pPr>
      <w:bookmarkStart w:id="132" w:name="_Toc55899691"/>
      <w:bookmarkStart w:id="133" w:name="_Toc55900435"/>
      <w:bookmarkStart w:id="134" w:name="_Toc56426932"/>
      <w:r w:rsidRPr="00CE292C">
        <w:t>Utilisation</w:t>
      </w:r>
      <w:r w:rsidRPr="00AB6090">
        <w:t xml:space="preserve"> de </w:t>
      </w:r>
      <w:r w:rsidR="003C4533">
        <w:t>drones</w:t>
      </w:r>
      <w:bookmarkEnd w:id="132"/>
      <w:bookmarkEnd w:id="133"/>
      <w:bookmarkEnd w:id="134"/>
    </w:p>
    <w:p w14:paraId="6137E7D8" w14:textId="77777777" w:rsidR="007017DC" w:rsidRDefault="007017DC" w:rsidP="0063032F">
      <w:pPr>
        <w:jc w:val="both"/>
        <w:rPr>
          <w:szCs w:val="18"/>
        </w:rPr>
      </w:pPr>
      <w:r w:rsidRPr="007017DC">
        <w:rPr>
          <w:szCs w:val="18"/>
        </w:rPr>
        <w:t xml:space="preserve">ANALYSE DE RISQUES Il appartient à l’organisateur de déterminer la classe du vol qui sera effectué lors de la manifestation au travers d’une analyse de risques et du type de drones employés. Les drones récréatifs sont interdits en dehors des propriétés privées et des terrains d’aéromodélisme. Il est strictement interdit de voler dans les villes et villages. </w:t>
      </w:r>
    </w:p>
    <w:p w14:paraId="31D8C587" w14:textId="77777777" w:rsidR="007017DC" w:rsidRDefault="007017DC" w:rsidP="002126C4">
      <w:pPr>
        <w:pBdr>
          <w:top w:val="single" w:sz="4" w:space="1" w:color="auto"/>
          <w:left w:val="single" w:sz="4" w:space="4" w:color="auto"/>
          <w:bottom w:val="single" w:sz="4" w:space="1" w:color="auto"/>
          <w:right w:val="single" w:sz="4" w:space="4" w:color="auto"/>
        </w:pBdr>
        <w:jc w:val="both"/>
        <w:rPr>
          <w:szCs w:val="18"/>
        </w:rPr>
      </w:pPr>
      <w:r w:rsidRPr="007017DC">
        <w:rPr>
          <w:szCs w:val="18"/>
        </w:rPr>
        <w:t>DOCUMENTS À FOURNIR À L’AUTORITÉ COM</w:t>
      </w:r>
      <w:r>
        <w:rPr>
          <w:szCs w:val="18"/>
        </w:rPr>
        <w:t xml:space="preserve">MUNALE AVANT LA MANIFESTATION </w:t>
      </w:r>
    </w:p>
    <w:p w14:paraId="5FF79000" w14:textId="77777777" w:rsidR="007017DC" w:rsidRDefault="007017DC" w:rsidP="0063032F">
      <w:pPr>
        <w:pStyle w:val="Paragraphedeliste"/>
        <w:numPr>
          <w:ilvl w:val="3"/>
          <w:numId w:val="62"/>
        </w:numPr>
        <w:ind w:left="709"/>
        <w:jc w:val="both"/>
        <w:rPr>
          <w:szCs w:val="18"/>
        </w:rPr>
      </w:pPr>
      <w:r w:rsidRPr="007017DC">
        <w:rPr>
          <w:szCs w:val="18"/>
        </w:rPr>
        <w:t xml:space="preserve">Classe 2, 1b et 1a : </w:t>
      </w:r>
    </w:p>
    <w:p w14:paraId="7BDAE905" w14:textId="77777777" w:rsidR="007017DC" w:rsidRDefault="007017DC" w:rsidP="0063032F">
      <w:pPr>
        <w:pStyle w:val="Paragraphedeliste"/>
        <w:numPr>
          <w:ilvl w:val="4"/>
          <w:numId w:val="62"/>
        </w:numPr>
        <w:ind w:left="1418"/>
        <w:jc w:val="both"/>
        <w:rPr>
          <w:szCs w:val="18"/>
        </w:rPr>
      </w:pPr>
      <w:r w:rsidRPr="007017DC">
        <w:rPr>
          <w:szCs w:val="18"/>
        </w:rPr>
        <w:t xml:space="preserve">Preuve d’une assurance RC du pilote pour dommage aux tiers </w:t>
      </w:r>
    </w:p>
    <w:p w14:paraId="3F845C7D" w14:textId="77777777" w:rsidR="007017DC" w:rsidRDefault="007017DC" w:rsidP="0063032F">
      <w:pPr>
        <w:pStyle w:val="Paragraphedeliste"/>
        <w:numPr>
          <w:ilvl w:val="4"/>
          <w:numId w:val="62"/>
        </w:numPr>
        <w:ind w:left="1418"/>
        <w:jc w:val="both"/>
        <w:rPr>
          <w:szCs w:val="18"/>
        </w:rPr>
      </w:pPr>
      <w:r w:rsidRPr="007017DC">
        <w:rPr>
          <w:szCs w:val="18"/>
        </w:rPr>
        <w:t xml:space="preserve">Preuve d’enregistrement du drone auprès de la DGTA </w:t>
      </w:r>
    </w:p>
    <w:p w14:paraId="5FC8B5AA" w14:textId="77777777" w:rsidR="007017DC" w:rsidRDefault="007017DC" w:rsidP="0063032F">
      <w:pPr>
        <w:pStyle w:val="Paragraphedeliste"/>
        <w:numPr>
          <w:ilvl w:val="4"/>
          <w:numId w:val="62"/>
        </w:numPr>
        <w:ind w:left="1418"/>
        <w:jc w:val="both"/>
        <w:rPr>
          <w:szCs w:val="18"/>
        </w:rPr>
      </w:pPr>
      <w:r w:rsidRPr="007017DC">
        <w:rPr>
          <w:szCs w:val="18"/>
        </w:rPr>
        <w:t xml:space="preserve">Preuve d’obtention de la licence de télépilote belge auprès d’une école reconnue </w:t>
      </w:r>
    </w:p>
    <w:p w14:paraId="4AEAA8DA" w14:textId="77777777" w:rsidR="007017DC" w:rsidRDefault="007017DC" w:rsidP="0063032F">
      <w:pPr>
        <w:pStyle w:val="Paragraphedeliste"/>
        <w:numPr>
          <w:ilvl w:val="3"/>
          <w:numId w:val="62"/>
        </w:numPr>
        <w:ind w:left="709"/>
        <w:jc w:val="both"/>
        <w:rPr>
          <w:szCs w:val="18"/>
        </w:rPr>
      </w:pPr>
      <w:r w:rsidRPr="007017DC">
        <w:rPr>
          <w:szCs w:val="18"/>
        </w:rPr>
        <w:t xml:space="preserve">En plus pour les classes 1b et 1a : </w:t>
      </w:r>
    </w:p>
    <w:p w14:paraId="0B590F52" w14:textId="77777777" w:rsidR="007017DC" w:rsidRDefault="007017DC" w:rsidP="0063032F">
      <w:pPr>
        <w:pStyle w:val="Paragraphedeliste"/>
        <w:numPr>
          <w:ilvl w:val="4"/>
          <w:numId w:val="62"/>
        </w:numPr>
        <w:ind w:left="1418"/>
        <w:jc w:val="both"/>
        <w:rPr>
          <w:szCs w:val="18"/>
        </w:rPr>
      </w:pPr>
      <w:r w:rsidRPr="007017DC">
        <w:rPr>
          <w:szCs w:val="18"/>
        </w:rPr>
        <w:t xml:space="preserve">1b : Preuve de la déclaration du vol à la DGTA </w:t>
      </w:r>
    </w:p>
    <w:p w14:paraId="376232CA" w14:textId="77777777" w:rsidR="007017DC" w:rsidRDefault="007017DC" w:rsidP="0063032F">
      <w:pPr>
        <w:pStyle w:val="Paragraphedeliste"/>
        <w:numPr>
          <w:ilvl w:val="4"/>
          <w:numId w:val="62"/>
        </w:numPr>
        <w:ind w:left="1418"/>
        <w:jc w:val="both"/>
        <w:rPr>
          <w:szCs w:val="18"/>
        </w:rPr>
      </w:pPr>
      <w:r w:rsidRPr="007017DC">
        <w:rPr>
          <w:szCs w:val="18"/>
        </w:rPr>
        <w:t xml:space="preserve">1a : Preuve de certification de l’appareil par la DGTA </w:t>
      </w:r>
    </w:p>
    <w:p w14:paraId="04B782C0" w14:textId="77777777" w:rsidR="007017DC" w:rsidRDefault="007017DC" w:rsidP="0063032F">
      <w:pPr>
        <w:pStyle w:val="Paragraphedeliste"/>
        <w:numPr>
          <w:ilvl w:val="4"/>
          <w:numId w:val="62"/>
        </w:numPr>
        <w:ind w:left="1418"/>
        <w:jc w:val="both"/>
        <w:rPr>
          <w:szCs w:val="18"/>
        </w:rPr>
      </w:pPr>
      <w:r w:rsidRPr="007017DC">
        <w:rPr>
          <w:szCs w:val="18"/>
        </w:rPr>
        <w:t>1a : Preuve d’autorisation de vol par la DGTA</w:t>
      </w:r>
    </w:p>
    <w:p w14:paraId="0C65C23E" w14:textId="77777777" w:rsidR="007017DC" w:rsidRDefault="007017DC" w:rsidP="0063032F">
      <w:pPr>
        <w:jc w:val="both"/>
        <w:rPr>
          <w:szCs w:val="18"/>
        </w:rPr>
      </w:pPr>
      <w:r w:rsidRPr="007017DC">
        <w:rPr>
          <w:szCs w:val="18"/>
        </w:rPr>
        <w:t xml:space="preserve">Remarque : Le pilote sera en possession du manuel opérationnel du vol lors de la manifestation. </w:t>
      </w:r>
    </w:p>
    <w:p w14:paraId="08592F5D" w14:textId="77777777" w:rsidR="007017DC" w:rsidRDefault="007017DC" w:rsidP="002126C4">
      <w:pPr>
        <w:pBdr>
          <w:top w:val="single" w:sz="4" w:space="1" w:color="auto"/>
          <w:left w:val="single" w:sz="4" w:space="4" w:color="auto"/>
          <w:bottom w:val="single" w:sz="4" w:space="1" w:color="auto"/>
          <w:right w:val="single" w:sz="4" w:space="4" w:color="auto"/>
        </w:pBdr>
        <w:jc w:val="both"/>
        <w:rPr>
          <w:szCs w:val="18"/>
        </w:rPr>
      </w:pPr>
      <w:r w:rsidRPr="007017DC">
        <w:rPr>
          <w:szCs w:val="18"/>
        </w:rPr>
        <w:t xml:space="preserve">LES VOLS SONT INTERDITS </w:t>
      </w:r>
    </w:p>
    <w:p w14:paraId="6F17F52C" w14:textId="77777777" w:rsidR="007017DC" w:rsidRDefault="007017DC" w:rsidP="0063032F">
      <w:pPr>
        <w:pStyle w:val="Paragraphedeliste"/>
        <w:numPr>
          <w:ilvl w:val="0"/>
          <w:numId w:val="63"/>
        </w:numPr>
        <w:jc w:val="both"/>
        <w:rPr>
          <w:szCs w:val="18"/>
        </w:rPr>
      </w:pPr>
      <w:r w:rsidRPr="007017DC">
        <w:rPr>
          <w:szCs w:val="18"/>
        </w:rPr>
        <w:t xml:space="preserve">Dans les espaces aériens contrôlés, ici on entend : Un espace aérien contrôlé est un espace dans lequel le service du contrôle est assuré. Toute manœuvre d’aéronef y est soumise à une clairance, c’est-à-dire une autorisation par un contrôleur aérien. </w:t>
      </w:r>
    </w:p>
    <w:p w14:paraId="7BF19505" w14:textId="77777777" w:rsidR="007017DC" w:rsidRDefault="007017DC" w:rsidP="0063032F">
      <w:pPr>
        <w:pStyle w:val="Paragraphedeliste"/>
        <w:numPr>
          <w:ilvl w:val="0"/>
          <w:numId w:val="63"/>
        </w:numPr>
        <w:jc w:val="both"/>
        <w:rPr>
          <w:szCs w:val="18"/>
        </w:rPr>
      </w:pPr>
      <w:r w:rsidRPr="007017DC">
        <w:rPr>
          <w:szCs w:val="18"/>
        </w:rPr>
        <w:lastRenderedPageBreak/>
        <w:t xml:space="preserve">A proximité et au-dessus des installations électriques, installations de stockage, de détente et de distribution de gaz </w:t>
      </w:r>
    </w:p>
    <w:p w14:paraId="37727B22" w14:textId="77777777" w:rsidR="007017DC" w:rsidRDefault="007017DC" w:rsidP="0063032F">
      <w:pPr>
        <w:pStyle w:val="Paragraphedeliste"/>
        <w:numPr>
          <w:ilvl w:val="0"/>
          <w:numId w:val="63"/>
        </w:numPr>
        <w:jc w:val="both"/>
        <w:rPr>
          <w:szCs w:val="18"/>
        </w:rPr>
      </w:pPr>
      <w:r w:rsidRPr="007017DC">
        <w:rPr>
          <w:szCs w:val="18"/>
        </w:rPr>
        <w:t xml:space="preserve">A moins de 1,8km des aérodromes et des héliports </w:t>
      </w:r>
    </w:p>
    <w:p w14:paraId="2651C506" w14:textId="77777777" w:rsidR="007017DC" w:rsidRDefault="007017DC" w:rsidP="0063032F">
      <w:pPr>
        <w:pStyle w:val="Paragraphedeliste"/>
        <w:numPr>
          <w:ilvl w:val="0"/>
          <w:numId w:val="63"/>
        </w:numPr>
        <w:jc w:val="both"/>
        <w:rPr>
          <w:szCs w:val="18"/>
        </w:rPr>
      </w:pPr>
      <w:r w:rsidRPr="007017DC">
        <w:rPr>
          <w:szCs w:val="18"/>
        </w:rPr>
        <w:t xml:space="preserve">Pour le transport de personnes ou de marchandises </w:t>
      </w:r>
    </w:p>
    <w:p w14:paraId="2CBB356B" w14:textId="77777777" w:rsidR="007017DC" w:rsidRDefault="007017DC" w:rsidP="0063032F">
      <w:pPr>
        <w:pStyle w:val="Paragraphedeliste"/>
        <w:numPr>
          <w:ilvl w:val="0"/>
          <w:numId w:val="63"/>
        </w:numPr>
        <w:jc w:val="both"/>
        <w:rPr>
          <w:szCs w:val="18"/>
        </w:rPr>
      </w:pPr>
      <w:r w:rsidRPr="007017DC">
        <w:rPr>
          <w:szCs w:val="18"/>
        </w:rPr>
        <w:t xml:space="preserve">Pour le jet ou la pulvérisation d’objets </w:t>
      </w:r>
    </w:p>
    <w:p w14:paraId="674140EF" w14:textId="77777777" w:rsidR="00A0251C" w:rsidRDefault="007017DC" w:rsidP="0063032F">
      <w:pPr>
        <w:pStyle w:val="Paragraphedeliste"/>
        <w:numPr>
          <w:ilvl w:val="0"/>
          <w:numId w:val="63"/>
        </w:numPr>
        <w:jc w:val="both"/>
        <w:rPr>
          <w:szCs w:val="18"/>
        </w:rPr>
      </w:pPr>
      <w:r w:rsidRPr="007017DC">
        <w:rPr>
          <w:szCs w:val="18"/>
        </w:rPr>
        <w:t>Si consommation de boissons alcoolisées ou toutes autres substances pouvant altérer la capacité de jugeme</w:t>
      </w:r>
      <w:r w:rsidR="00A0251C">
        <w:rPr>
          <w:szCs w:val="18"/>
        </w:rPr>
        <w:t>nt et de réaction du pilote</w:t>
      </w:r>
    </w:p>
    <w:p w14:paraId="2B7EFA8B" w14:textId="77777777" w:rsidR="00A0251C" w:rsidRDefault="007017DC" w:rsidP="0063032F">
      <w:pPr>
        <w:jc w:val="both"/>
        <w:rPr>
          <w:szCs w:val="18"/>
        </w:rPr>
      </w:pPr>
      <w:r w:rsidRPr="002126C4">
        <w:rPr>
          <w:szCs w:val="18"/>
          <w:bdr w:val="single" w:sz="4" w:space="0" w:color="auto"/>
        </w:rPr>
        <w:t>RECOMMANDATIONS</w:t>
      </w:r>
    </w:p>
    <w:p w14:paraId="0D6F0142" w14:textId="77777777" w:rsidR="00A0251C" w:rsidRDefault="007017DC" w:rsidP="0063032F">
      <w:pPr>
        <w:pStyle w:val="Paragraphedeliste"/>
        <w:numPr>
          <w:ilvl w:val="0"/>
          <w:numId w:val="64"/>
        </w:numPr>
        <w:jc w:val="both"/>
        <w:rPr>
          <w:szCs w:val="18"/>
        </w:rPr>
      </w:pPr>
      <w:r w:rsidRPr="00A0251C">
        <w:rPr>
          <w:szCs w:val="18"/>
        </w:rPr>
        <w:t xml:space="preserve">Inspectez le drone avant chaque vol </w:t>
      </w:r>
    </w:p>
    <w:p w14:paraId="11E49135" w14:textId="77777777" w:rsidR="00A0251C" w:rsidRDefault="007017DC" w:rsidP="0063032F">
      <w:pPr>
        <w:pStyle w:val="Paragraphedeliste"/>
        <w:numPr>
          <w:ilvl w:val="0"/>
          <w:numId w:val="64"/>
        </w:numPr>
        <w:jc w:val="both"/>
        <w:rPr>
          <w:szCs w:val="18"/>
        </w:rPr>
      </w:pPr>
      <w:r w:rsidRPr="00A0251C">
        <w:rPr>
          <w:szCs w:val="18"/>
        </w:rPr>
        <w:t xml:space="preserve">Ne volez que si la météo le permet </w:t>
      </w:r>
    </w:p>
    <w:p w14:paraId="2EE25EEF" w14:textId="39C30396" w:rsidR="00613D81" w:rsidRDefault="007017DC" w:rsidP="0063032F">
      <w:pPr>
        <w:pStyle w:val="Paragraphedeliste"/>
        <w:numPr>
          <w:ilvl w:val="0"/>
          <w:numId w:val="64"/>
        </w:numPr>
        <w:jc w:val="both"/>
        <w:rPr>
          <w:szCs w:val="18"/>
        </w:rPr>
      </w:pPr>
      <w:r w:rsidRPr="00A0251C">
        <w:rPr>
          <w:szCs w:val="18"/>
        </w:rPr>
        <w:t xml:space="preserve">Ne </w:t>
      </w:r>
      <w:proofErr w:type="spellStart"/>
      <w:r w:rsidRPr="00A0251C">
        <w:rPr>
          <w:szCs w:val="18"/>
        </w:rPr>
        <w:t>volez</w:t>
      </w:r>
      <w:proofErr w:type="spellEnd"/>
      <w:r w:rsidRPr="00A0251C">
        <w:rPr>
          <w:szCs w:val="18"/>
        </w:rPr>
        <w:t xml:space="preserve"> pas hors de votre champ de vision</w:t>
      </w:r>
    </w:p>
    <w:p w14:paraId="33A656FC" w14:textId="77777777" w:rsidR="002126C4" w:rsidRDefault="002126C4" w:rsidP="002126C4">
      <w:pPr>
        <w:pStyle w:val="Paragraphedeliste"/>
        <w:jc w:val="both"/>
        <w:rPr>
          <w:szCs w:val="18"/>
        </w:rPr>
      </w:pPr>
    </w:p>
    <w:p w14:paraId="56DE284E" w14:textId="3FE8C2B6" w:rsidR="003E4333" w:rsidRPr="00AB6090" w:rsidRDefault="003E4333" w:rsidP="0063032F">
      <w:pPr>
        <w:pStyle w:val="Style2"/>
        <w:jc w:val="both"/>
        <w:outlineLvl w:val="1"/>
      </w:pPr>
      <w:bookmarkStart w:id="135" w:name="_Toc55899692"/>
      <w:bookmarkStart w:id="136" w:name="_Toc55900436"/>
      <w:bookmarkStart w:id="137" w:name="_Toc56426933"/>
      <w:r w:rsidRPr="00AB6090">
        <w:t xml:space="preserve">Activités </w:t>
      </w:r>
      <w:r w:rsidRPr="003E4333">
        <w:t>sportives</w:t>
      </w:r>
      <w:bookmarkEnd w:id="135"/>
      <w:bookmarkEnd w:id="136"/>
      <w:bookmarkEnd w:id="137"/>
    </w:p>
    <w:p w14:paraId="23BD1852" w14:textId="77777777" w:rsidR="003E4333" w:rsidRDefault="003E4333" w:rsidP="0063032F">
      <w:pPr>
        <w:jc w:val="both"/>
      </w:pPr>
      <w:r w:rsidRPr="00AB6090">
        <w:t xml:space="preserve">Il est surtout essentiel, lors d’activités sportives, de veiller à fournir un poste de premiers soins adapté au type d’activité, aux sportifs présents et au type de public présent.  Pour ce faire, la grille d’évaluation fournie par la </w:t>
      </w:r>
      <w:proofErr w:type="spellStart"/>
      <w:r w:rsidRPr="00AB6090">
        <w:t>CoAMU</w:t>
      </w:r>
      <w:proofErr w:type="spellEnd"/>
      <w:r w:rsidRPr="00AB6090">
        <w:t xml:space="preserve"> sera avantageusement utilisée par la commune pour dimensionner le type de poste médical nécessaire.</w:t>
      </w:r>
    </w:p>
    <w:p w14:paraId="285ACF6B" w14:textId="238716C6" w:rsidR="003E4333" w:rsidRDefault="003E4333" w:rsidP="0063032F">
      <w:pPr>
        <w:pStyle w:val="Style3"/>
        <w:jc w:val="both"/>
        <w:outlineLvl w:val="2"/>
      </w:pPr>
      <w:bookmarkStart w:id="138" w:name="_Toc55899693"/>
      <w:bookmarkStart w:id="139" w:name="_Toc55900437"/>
      <w:bookmarkStart w:id="140" w:name="_Toc56426934"/>
      <w:r>
        <w:t>Randonnées</w:t>
      </w:r>
      <w:bookmarkEnd w:id="138"/>
      <w:bookmarkEnd w:id="139"/>
      <w:bookmarkEnd w:id="140"/>
    </w:p>
    <w:p w14:paraId="3ED3F63E" w14:textId="77777777" w:rsidR="003E4333" w:rsidRPr="00823A9A" w:rsidRDefault="003E4333" w:rsidP="0063032F">
      <w:pPr>
        <w:jc w:val="both"/>
      </w:pPr>
      <w:r w:rsidRPr="00823A9A">
        <w:t xml:space="preserve">Ces consignes sont applicables aux évènements suivants ou similaires : Randonnées pédestres, marches, cortèges, parcours VTT, etc… </w:t>
      </w:r>
    </w:p>
    <w:p w14:paraId="649A6F1B" w14:textId="02A34791" w:rsidR="003E4333" w:rsidRPr="00B87BA3" w:rsidRDefault="003E4333" w:rsidP="0063032F">
      <w:pPr>
        <w:jc w:val="both"/>
        <w:rPr>
          <w:b/>
          <w:bCs/>
          <w:sz w:val="30"/>
          <w:szCs w:val="30"/>
          <w:u w:val="single"/>
        </w:rPr>
      </w:pPr>
      <w:r w:rsidRPr="00B87BA3">
        <w:rPr>
          <w:b/>
          <w:bCs/>
          <w:sz w:val="30"/>
          <w:szCs w:val="30"/>
          <w:u w:val="single"/>
        </w:rPr>
        <w:t>Au minimum, les prescriptions suivantes seront respectées</w:t>
      </w:r>
      <w:r w:rsidR="00B87BA3" w:rsidRPr="00B87BA3">
        <w:rPr>
          <w:b/>
          <w:bCs/>
          <w:sz w:val="30"/>
          <w:szCs w:val="30"/>
          <w:u w:val="single"/>
        </w:rPr>
        <w:t> :</w:t>
      </w:r>
      <w:r w:rsidRPr="00B87BA3">
        <w:rPr>
          <w:b/>
          <w:bCs/>
          <w:sz w:val="30"/>
          <w:szCs w:val="30"/>
          <w:u w:val="single"/>
        </w:rPr>
        <w:t xml:space="preserve"> </w:t>
      </w:r>
    </w:p>
    <w:p w14:paraId="13A53CB2" w14:textId="77777777" w:rsidR="003E4333" w:rsidRPr="00C37755" w:rsidRDefault="003E4333" w:rsidP="0063032F">
      <w:pPr>
        <w:jc w:val="both"/>
      </w:pPr>
      <w:r w:rsidRPr="002126C4">
        <w:rPr>
          <w:bdr w:val="single" w:sz="4" w:space="0" w:color="auto"/>
        </w:rPr>
        <w:t>ALERTE </w:t>
      </w:r>
      <w:r w:rsidRPr="00C37755">
        <w:t xml:space="preserve">: Considérant l’importance de l’alerte lors d’activité de randonnée (compétitive ou non), il est indispensable de pouvoir se localiser et prévenir les secours le plus rapidement possible. </w:t>
      </w:r>
    </w:p>
    <w:p w14:paraId="451642FE" w14:textId="77777777" w:rsidR="003E4333" w:rsidRPr="00C37755" w:rsidRDefault="003E4333" w:rsidP="0063032F">
      <w:pPr>
        <w:jc w:val="both"/>
      </w:pPr>
      <w:r w:rsidRPr="00C37755">
        <w:t xml:space="preserve">Les mesures suivantes seront à prendre en considération : </w:t>
      </w:r>
    </w:p>
    <w:p w14:paraId="0214EB4F" w14:textId="77777777" w:rsidR="003E4333" w:rsidRPr="00C37755" w:rsidRDefault="003E4333" w:rsidP="0063032F">
      <w:pPr>
        <w:jc w:val="both"/>
      </w:pPr>
      <w:r w:rsidRPr="00C37755">
        <w:t xml:space="preserve">a. le règlement de l’organisation conseillera aux participants d’emporter un GSM avec eux (hors situation de compétition). </w:t>
      </w:r>
    </w:p>
    <w:p w14:paraId="7793F1CA" w14:textId="77777777" w:rsidR="003E4333" w:rsidRPr="00C37755" w:rsidRDefault="003E4333" w:rsidP="0063032F">
      <w:pPr>
        <w:jc w:val="both"/>
      </w:pPr>
      <w:r w:rsidRPr="00C37755">
        <w:t xml:space="preserve">b. le port d’un dossard avec les coordonnées de l’organisateur est vivement conseillé. </w:t>
      </w:r>
    </w:p>
    <w:p w14:paraId="01AFC627" w14:textId="77777777" w:rsidR="003E4333" w:rsidRPr="00C37755" w:rsidRDefault="003E4333" w:rsidP="0063032F">
      <w:pPr>
        <w:jc w:val="both"/>
      </w:pPr>
      <w:r w:rsidRPr="00C37755">
        <w:t xml:space="preserve">c. un panneau de repérage kilométrique avec indication du n° de GSM de l’organisateur sera apposé le long du parcours: </w:t>
      </w:r>
    </w:p>
    <w:p w14:paraId="4F5182A2" w14:textId="77777777" w:rsidR="003E4333" w:rsidRPr="00C37755" w:rsidRDefault="003E4333" w:rsidP="0063032F">
      <w:pPr>
        <w:jc w:val="both"/>
      </w:pPr>
      <w:r w:rsidRPr="00C37755">
        <w:t xml:space="preserve">I. tous les kms pour les marches/courses à pieds, </w:t>
      </w:r>
    </w:p>
    <w:p w14:paraId="050D711A" w14:textId="77777777" w:rsidR="003E4333" w:rsidRPr="00C37755" w:rsidRDefault="003E4333" w:rsidP="0063032F">
      <w:pPr>
        <w:jc w:val="both"/>
      </w:pPr>
      <w:r w:rsidRPr="00C37755">
        <w:t xml:space="preserve">II. tous les 2 kms pour les activités cyclistes, </w:t>
      </w:r>
    </w:p>
    <w:p w14:paraId="6FB89A4E" w14:textId="77777777" w:rsidR="003E4333" w:rsidRPr="00C37755" w:rsidRDefault="003E4333" w:rsidP="0063032F">
      <w:pPr>
        <w:jc w:val="both"/>
      </w:pPr>
      <w:r w:rsidRPr="00C37755">
        <w:t xml:space="preserve">d. Il y a lieu de fournir à la Zone de Secours les renseignements concernant le dispositif mis en place pour s’assurer que tous les participants sont bien arrivés. </w:t>
      </w:r>
    </w:p>
    <w:p w14:paraId="18049474" w14:textId="77777777" w:rsidR="003E4333" w:rsidRPr="00C37755" w:rsidRDefault="003E4333" w:rsidP="0063032F">
      <w:pPr>
        <w:jc w:val="both"/>
      </w:pPr>
      <w:r w:rsidRPr="00C37755">
        <w:t xml:space="preserve">e. lors de l’appel au secours, un point de rendez-vous avec les services de secours devra être déterminé. Ce point de point de rendez-vous se situera sur un chemin carrossable. Une personne y attendra les secours et les guidera vers le lieu d’intervention. </w:t>
      </w:r>
    </w:p>
    <w:p w14:paraId="02BFF232" w14:textId="77777777" w:rsidR="003E4333" w:rsidRPr="00C37755" w:rsidRDefault="003E4333" w:rsidP="0063032F">
      <w:pPr>
        <w:jc w:val="both"/>
      </w:pPr>
      <w:r w:rsidRPr="002126C4">
        <w:rPr>
          <w:bdr w:val="single" w:sz="4" w:space="0" w:color="auto"/>
        </w:rPr>
        <w:t>FLÉCHAGE DU PARCOURS</w:t>
      </w:r>
      <w:r w:rsidRPr="00C37755">
        <w:t xml:space="preserve"> : Lors du fléchage du parcours dans les bois, il conviendra d’être particulièrement attentif au danger que représentent les chutes de branches et même d’arbres. Le danger devra être écarté ou l’itinéraire du parcours modifié. </w:t>
      </w:r>
    </w:p>
    <w:p w14:paraId="18BB29A7" w14:textId="77777777" w:rsidR="003E4333" w:rsidRPr="00C37755" w:rsidRDefault="003E4333" w:rsidP="0063032F">
      <w:pPr>
        <w:jc w:val="both"/>
      </w:pPr>
      <w:r w:rsidRPr="002126C4">
        <w:rPr>
          <w:bdr w:val="single" w:sz="4" w:space="0" w:color="auto"/>
        </w:rPr>
        <w:t>INFORMATIONS À FOURNIR</w:t>
      </w:r>
      <w:r w:rsidRPr="00C37755">
        <w:t xml:space="preserve"> : Afin de disposer de toutes les informations nécessaires à la bonne gestion d’une intervention des services de secours extérieurs, l’organisateur mettra à disposition, de la Zone de Secours, au plus tard 10 jours avant la manifestation : </w:t>
      </w:r>
    </w:p>
    <w:p w14:paraId="5F39BC11" w14:textId="77777777" w:rsidR="003E4333" w:rsidRPr="00C37755" w:rsidRDefault="003E4333" w:rsidP="0063032F">
      <w:pPr>
        <w:jc w:val="both"/>
      </w:pPr>
      <w:r w:rsidRPr="00C37755">
        <w:t xml:space="preserve"> a. Une cartographie reprenant les accès, le point de rendez-vous avec les services de secours, le point de première destination en cas de gestion de crise, etc. </w:t>
      </w:r>
    </w:p>
    <w:p w14:paraId="44F0C532" w14:textId="77777777" w:rsidR="003E4333" w:rsidRPr="00C37755" w:rsidRDefault="003E4333" w:rsidP="0063032F">
      <w:pPr>
        <w:jc w:val="both"/>
      </w:pPr>
      <w:r w:rsidRPr="00C37755">
        <w:t xml:space="preserve">b. Un plan d’implantation générale de type crash </w:t>
      </w:r>
      <w:proofErr w:type="spellStart"/>
      <w:r w:rsidRPr="00C37755">
        <w:t>map</w:t>
      </w:r>
      <w:proofErr w:type="spellEnd"/>
      <w:r w:rsidRPr="00C37755">
        <w:t xml:space="preserve"> (cartographie avec quadrillage), celle-ci sera adaptée avec indication des repères kilométriques et la voie d’accès carrossable la plus proche pour les véhicules d’intervention.</w:t>
      </w:r>
    </w:p>
    <w:p w14:paraId="63C9F404" w14:textId="77777777" w:rsidR="003E4333" w:rsidRPr="00C37755" w:rsidRDefault="003E4333" w:rsidP="0063032F">
      <w:pPr>
        <w:jc w:val="both"/>
      </w:pPr>
      <w:r w:rsidRPr="00C37755">
        <w:t xml:space="preserve">c. Une ligne du temps reprenant au jour le jour toutes les activités organisées. </w:t>
      </w:r>
    </w:p>
    <w:p w14:paraId="55A32A06" w14:textId="77777777" w:rsidR="003E4333" w:rsidRPr="00C37755" w:rsidRDefault="003E4333" w:rsidP="0063032F">
      <w:pPr>
        <w:jc w:val="both"/>
      </w:pPr>
      <w:r w:rsidRPr="00C37755">
        <w:t xml:space="preserve">d. Un répertoire téléphonique reprenant les numéros des responsables de l’organisation. </w:t>
      </w:r>
    </w:p>
    <w:p w14:paraId="6F900995" w14:textId="77777777" w:rsidR="003E4333" w:rsidRPr="00C37755" w:rsidRDefault="003E4333" w:rsidP="0063032F">
      <w:pPr>
        <w:jc w:val="both"/>
      </w:pPr>
      <w:r w:rsidRPr="00C37755">
        <w:t xml:space="preserve">e. Une cartographie par circuit. </w:t>
      </w:r>
    </w:p>
    <w:p w14:paraId="03CC9E6E" w14:textId="77777777" w:rsidR="003E4333" w:rsidRPr="00C37755" w:rsidRDefault="003E4333" w:rsidP="0063032F">
      <w:pPr>
        <w:jc w:val="both"/>
      </w:pPr>
      <w:r w:rsidRPr="00C37755">
        <w:t xml:space="preserve">f. Une copie de la consigne de sécurité qui sera affichée. </w:t>
      </w:r>
    </w:p>
    <w:p w14:paraId="5BE69AD5" w14:textId="77777777" w:rsidR="003E4333" w:rsidRPr="00C37755" w:rsidRDefault="003E4333" w:rsidP="0063032F">
      <w:pPr>
        <w:jc w:val="both"/>
      </w:pPr>
      <w:r w:rsidRPr="00C37755">
        <w:lastRenderedPageBreak/>
        <w:t>SIGNALISATION Considérant le risque que représente une collision piéton contre véhicule et considérant que les participants occupent la voie publique, il y a lieu de réduire ce risque grâce à :</w:t>
      </w:r>
    </w:p>
    <w:p w14:paraId="38CEB20C" w14:textId="77777777" w:rsidR="003E4333" w:rsidRPr="00C37755" w:rsidRDefault="003E4333" w:rsidP="0063032F">
      <w:pPr>
        <w:jc w:val="both"/>
      </w:pPr>
      <w:r w:rsidRPr="00C37755">
        <w:t xml:space="preserve"> a. la mise en place d’une signalisation adaptée, aux endroits à risque afin d’avertir les usagers de la route.</w:t>
      </w:r>
    </w:p>
    <w:p w14:paraId="6C9159F0" w14:textId="77777777" w:rsidR="003E4333" w:rsidRPr="00C37755" w:rsidRDefault="003E4333" w:rsidP="0063032F">
      <w:pPr>
        <w:jc w:val="both"/>
      </w:pPr>
      <w:r w:rsidRPr="00C37755">
        <w:t xml:space="preserve"> b. éventuellement, d’une réduction de la vitesse, </w:t>
      </w:r>
    </w:p>
    <w:p w14:paraId="1F343564" w14:textId="77777777" w:rsidR="003E4333" w:rsidRPr="00C37755" w:rsidRDefault="003E4333" w:rsidP="0063032F">
      <w:pPr>
        <w:jc w:val="both"/>
      </w:pPr>
      <w:r w:rsidRPr="00C37755">
        <w:t xml:space="preserve">c. suivant les cas : </w:t>
      </w:r>
    </w:p>
    <w:p w14:paraId="30F0F1B4" w14:textId="77777777" w:rsidR="003E4333" w:rsidRPr="00C37755" w:rsidRDefault="003E4333" w:rsidP="0063032F">
      <w:pPr>
        <w:jc w:val="both"/>
      </w:pPr>
      <w:r w:rsidRPr="00C37755">
        <w:t xml:space="preserve">I. la présence de véhicules de signalisation en amont et en aval du cortège. </w:t>
      </w:r>
    </w:p>
    <w:p w14:paraId="26755EF5" w14:textId="77777777" w:rsidR="003E4333" w:rsidRPr="00C37755" w:rsidRDefault="003E4333" w:rsidP="0063032F">
      <w:pPr>
        <w:jc w:val="both"/>
      </w:pPr>
      <w:r w:rsidRPr="00C37755">
        <w:t xml:space="preserve">II. la présence de signaleurs avec gilet fluorescent (de type classe 3) en amont et en aval du cortège. </w:t>
      </w:r>
    </w:p>
    <w:p w14:paraId="7FC8AB4D" w14:textId="77777777" w:rsidR="003E4333" w:rsidRPr="00C37755" w:rsidRDefault="003E4333" w:rsidP="0063032F">
      <w:pPr>
        <w:jc w:val="both"/>
      </w:pPr>
      <w:r w:rsidRPr="00C37755">
        <w:t xml:space="preserve">III. la présence de signaleurs avec gilet fluorescent (de type classe 3) aux carrefours et aux endroits à risque. </w:t>
      </w:r>
    </w:p>
    <w:p w14:paraId="5060A20E" w14:textId="77777777" w:rsidR="003E4333" w:rsidRPr="00C37755" w:rsidRDefault="003E4333" w:rsidP="0063032F">
      <w:pPr>
        <w:jc w:val="both"/>
      </w:pPr>
      <w:r w:rsidRPr="00C37755">
        <w:t xml:space="preserve">IV. la sécurisation des traversées de route pouvant représenter un danger pour les participants, des chicanes doivent être réalisées à l’aide de barrière Nadar ou de rubalise. 4.5 </w:t>
      </w:r>
    </w:p>
    <w:p w14:paraId="2635E14F" w14:textId="77777777" w:rsidR="003E4333" w:rsidRDefault="003E4333" w:rsidP="0063032F">
      <w:pPr>
        <w:jc w:val="both"/>
      </w:pPr>
      <w:r w:rsidRPr="00C37755">
        <w:t>PASSAGE SUR UN AUTRE TERRITOIRE Si le parcours de la randonnée sort du territoire de la Zone de Secours DINAPHI, il y a lieu d’avertir les autorités compétentes et fournir un dossier de sécurité aux services de secours aux autres zones et/ou pays concernés. Si le parcours traverse plusieurs communes, il serait judicieux de prévoir une réunion avec les différents acteurs.</w:t>
      </w:r>
    </w:p>
    <w:p w14:paraId="67A92F19" w14:textId="77777777" w:rsidR="002126C4" w:rsidRPr="00C37755" w:rsidRDefault="002126C4" w:rsidP="0063032F">
      <w:pPr>
        <w:jc w:val="both"/>
      </w:pPr>
    </w:p>
    <w:p w14:paraId="7C114E97" w14:textId="238F072F" w:rsidR="003E4333" w:rsidRDefault="003E4333" w:rsidP="0063032F">
      <w:pPr>
        <w:pStyle w:val="Style2"/>
        <w:jc w:val="both"/>
        <w:outlineLvl w:val="1"/>
      </w:pPr>
      <w:bookmarkStart w:id="141" w:name="_Toc55899694"/>
      <w:bookmarkStart w:id="142" w:name="_Toc55900438"/>
      <w:bookmarkStart w:id="143" w:name="_Toc56426935"/>
      <w:r w:rsidRPr="00CE292C">
        <w:t>Patinoires</w:t>
      </w:r>
      <w:bookmarkEnd w:id="141"/>
      <w:bookmarkEnd w:id="142"/>
      <w:bookmarkEnd w:id="143"/>
    </w:p>
    <w:p w14:paraId="2BFEC264" w14:textId="77777777" w:rsidR="00B87BA3" w:rsidRPr="00B87BA3" w:rsidRDefault="00B87BA3" w:rsidP="0063032F">
      <w:pPr>
        <w:jc w:val="both"/>
        <w:rPr>
          <w:b/>
          <w:bCs/>
          <w:sz w:val="30"/>
          <w:szCs w:val="30"/>
          <w:u w:val="single"/>
        </w:rPr>
      </w:pPr>
      <w:r w:rsidRPr="00B87BA3">
        <w:rPr>
          <w:b/>
          <w:bCs/>
          <w:sz w:val="30"/>
          <w:szCs w:val="30"/>
          <w:u w:val="single"/>
        </w:rPr>
        <w:t xml:space="preserve">Au minimum, les prescriptions suivantes seront respectées : </w:t>
      </w:r>
    </w:p>
    <w:p w14:paraId="21BF9B75" w14:textId="77777777" w:rsidR="003E4333" w:rsidRDefault="003E4333" w:rsidP="002126C4">
      <w:pPr>
        <w:pBdr>
          <w:top w:val="single" w:sz="4" w:space="1" w:color="auto"/>
          <w:left w:val="single" w:sz="4" w:space="4" w:color="auto"/>
          <w:bottom w:val="single" w:sz="4" w:space="1" w:color="auto"/>
          <w:right w:val="single" w:sz="4" w:space="4" w:color="auto"/>
        </w:pBdr>
        <w:jc w:val="both"/>
        <w:rPr>
          <w:szCs w:val="18"/>
        </w:rPr>
      </w:pPr>
      <w:r>
        <w:rPr>
          <w:szCs w:val="18"/>
        </w:rPr>
        <w:t>INSTALLATION :</w:t>
      </w:r>
    </w:p>
    <w:p w14:paraId="4EBBAB6C" w14:textId="77777777" w:rsidR="003E4333" w:rsidRDefault="003E4333" w:rsidP="0063032F">
      <w:pPr>
        <w:pStyle w:val="Paragraphedeliste"/>
        <w:numPr>
          <w:ilvl w:val="0"/>
          <w:numId w:val="65"/>
        </w:numPr>
        <w:jc w:val="both"/>
        <w:rPr>
          <w:szCs w:val="18"/>
        </w:rPr>
      </w:pPr>
      <w:r w:rsidRPr="00346E3E">
        <w:rPr>
          <w:szCs w:val="18"/>
        </w:rPr>
        <w:t xml:space="preserve">La patinoire devra être placée sur une surface plane, horizontale et stable. </w:t>
      </w:r>
    </w:p>
    <w:p w14:paraId="10AC38DC" w14:textId="77777777" w:rsidR="003E4333" w:rsidRDefault="003E4333" w:rsidP="0063032F">
      <w:pPr>
        <w:pStyle w:val="Paragraphedeliste"/>
        <w:numPr>
          <w:ilvl w:val="0"/>
          <w:numId w:val="65"/>
        </w:numPr>
        <w:jc w:val="both"/>
        <w:rPr>
          <w:szCs w:val="18"/>
        </w:rPr>
      </w:pPr>
      <w:r w:rsidRPr="00346E3E">
        <w:rPr>
          <w:szCs w:val="18"/>
        </w:rPr>
        <w:t>Un chapiteau devra couvrir l’entièreté de la surface de la patinoire, on préfèrera un ch</w:t>
      </w:r>
      <w:r>
        <w:rPr>
          <w:szCs w:val="18"/>
        </w:rPr>
        <w:t>apiteau de type autoportant afi</w:t>
      </w:r>
      <w:r w:rsidRPr="00346E3E">
        <w:rPr>
          <w:szCs w:val="18"/>
        </w:rPr>
        <w:t>n d’utilise</w:t>
      </w:r>
      <w:r>
        <w:rPr>
          <w:szCs w:val="18"/>
        </w:rPr>
        <w:t xml:space="preserve">r la glace comme contre poids. </w:t>
      </w:r>
      <w:r w:rsidRPr="00346E3E">
        <w:rPr>
          <w:szCs w:val="18"/>
        </w:rPr>
        <w:t xml:space="preserve"> </w:t>
      </w:r>
    </w:p>
    <w:p w14:paraId="3A0E159B" w14:textId="77777777" w:rsidR="003E4333" w:rsidRDefault="003E4333" w:rsidP="0063032F">
      <w:pPr>
        <w:pStyle w:val="Paragraphedeliste"/>
        <w:numPr>
          <w:ilvl w:val="0"/>
          <w:numId w:val="65"/>
        </w:numPr>
        <w:jc w:val="both"/>
        <w:rPr>
          <w:szCs w:val="18"/>
        </w:rPr>
      </w:pPr>
      <w:r>
        <w:rPr>
          <w:szCs w:val="18"/>
        </w:rPr>
        <w:t>Les recommandations « </w:t>
      </w:r>
      <w:r w:rsidRPr="00346E3E">
        <w:rPr>
          <w:szCs w:val="18"/>
        </w:rPr>
        <w:t>chapiteau</w:t>
      </w:r>
      <w:r>
        <w:rPr>
          <w:szCs w:val="18"/>
        </w:rPr>
        <w:t> »</w:t>
      </w:r>
      <w:r w:rsidRPr="00346E3E">
        <w:rPr>
          <w:szCs w:val="18"/>
        </w:rPr>
        <w:t xml:space="preserve"> </w:t>
      </w:r>
      <w:r>
        <w:rPr>
          <w:szCs w:val="18"/>
        </w:rPr>
        <w:t xml:space="preserve">devront </w:t>
      </w:r>
      <w:r w:rsidRPr="00346E3E">
        <w:rPr>
          <w:szCs w:val="18"/>
        </w:rPr>
        <w:t>être respectée</w:t>
      </w:r>
      <w:r>
        <w:rPr>
          <w:szCs w:val="18"/>
        </w:rPr>
        <w:t>s</w:t>
      </w:r>
      <w:r w:rsidRPr="00346E3E">
        <w:rPr>
          <w:szCs w:val="18"/>
        </w:rPr>
        <w:t xml:space="preserve"> pour le montage du chapiteau. </w:t>
      </w:r>
    </w:p>
    <w:p w14:paraId="495FB24D" w14:textId="77777777" w:rsidR="003E4333" w:rsidRDefault="003E4333" w:rsidP="0063032F">
      <w:pPr>
        <w:pStyle w:val="Paragraphedeliste"/>
        <w:numPr>
          <w:ilvl w:val="0"/>
          <w:numId w:val="65"/>
        </w:numPr>
        <w:jc w:val="both"/>
        <w:rPr>
          <w:szCs w:val="18"/>
        </w:rPr>
      </w:pPr>
      <w:r w:rsidRPr="00346E3E">
        <w:rPr>
          <w:szCs w:val="18"/>
        </w:rPr>
        <w:t xml:space="preserve">La partie technique ne devra pas être accessible au public. </w:t>
      </w:r>
    </w:p>
    <w:p w14:paraId="77480963" w14:textId="77777777" w:rsidR="003E4333" w:rsidRDefault="003E4333" w:rsidP="0063032F">
      <w:pPr>
        <w:pStyle w:val="Paragraphedeliste"/>
        <w:numPr>
          <w:ilvl w:val="0"/>
          <w:numId w:val="65"/>
        </w:numPr>
        <w:jc w:val="both"/>
        <w:rPr>
          <w:szCs w:val="18"/>
        </w:rPr>
      </w:pPr>
      <w:r w:rsidRPr="00346E3E">
        <w:rPr>
          <w:szCs w:val="18"/>
        </w:rPr>
        <w:t>L</w:t>
      </w:r>
      <w:r>
        <w:rPr>
          <w:szCs w:val="18"/>
        </w:rPr>
        <w:t>e compartiment renfermant le fl</w:t>
      </w:r>
      <w:r w:rsidRPr="00346E3E">
        <w:rPr>
          <w:szCs w:val="18"/>
        </w:rPr>
        <w:t xml:space="preserve">uide glycolé devra être protégé des intempéries afin d’empêcher tout débordement. </w:t>
      </w:r>
    </w:p>
    <w:p w14:paraId="219D1DDE" w14:textId="77777777" w:rsidR="003E4333" w:rsidRDefault="003E4333" w:rsidP="002126C4">
      <w:pPr>
        <w:pBdr>
          <w:top w:val="single" w:sz="4" w:space="1" w:color="auto"/>
          <w:left w:val="single" w:sz="4" w:space="4" w:color="auto"/>
          <w:bottom w:val="single" w:sz="4" w:space="1" w:color="auto"/>
          <w:right w:val="single" w:sz="4" w:space="4" w:color="auto"/>
        </w:pBdr>
        <w:jc w:val="both"/>
        <w:rPr>
          <w:szCs w:val="18"/>
        </w:rPr>
      </w:pPr>
      <w:r w:rsidRPr="00346E3E">
        <w:rPr>
          <w:szCs w:val="18"/>
        </w:rPr>
        <w:t xml:space="preserve">L’APPAREILLAGE </w:t>
      </w:r>
    </w:p>
    <w:p w14:paraId="238F8DB7" w14:textId="77777777" w:rsidR="003E4333" w:rsidRDefault="003E4333" w:rsidP="0063032F">
      <w:pPr>
        <w:pStyle w:val="Paragraphedeliste"/>
        <w:numPr>
          <w:ilvl w:val="0"/>
          <w:numId w:val="66"/>
        </w:numPr>
        <w:jc w:val="both"/>
        <w:rPr>
          <w:szCs w:val="18"/>
        </w:rPr>
      </w:pPr>
      <w:r w:rsidRPr="00346E3E">
        <w:rPr>
          <w:szCs w:val="18"/>
        </w:rPr>
        <w:t xml:space="preserve">L’unité de refroidissement devra porter le marquage CE. </w:t>
      </w:r>
    </w:p>
    <w:p w14:paraId="553C6492" w14:textId="77777777" w:rsidR="003E4333" w:rsidRDefault="003E4333" w:rsidP="0063032F">
      <w:pPr>
        <w:pStyle w:val="Paragraphedeliste"/>
        <w:numPr>
          <w:ilvl w:val="0"/>
          <w:numId w:val="66"/>
        </w:numPr>
        <w:jc w:val="both"/>
        <w:rPr>
          <w:szCs w:val="18"/>
        </w:rPr>
      </w:pPr>
      <w:r w:rsidRPr="00346E3E">
        <w:rPr>
          <w:szCs w:val="18"/>
        </w:rPr>
        <w:t>Les gaines util</w:t>
      </w:r>
      <w:r>
        <w:rPr>
          <w:szCs w:val="18"/>
        </w:rPr>
        <w:t>isées pour faire circuler le fl</w:t>
      </w:r>
      <w:r w:rsidRPr="00346E3E">
        <w:rPr>
          <w:szCs w:val="18"/>
        </w:rPr>
        <w:t xml:space="preserve">uide glycolé devront être isolées entre l’unité de </w:t>
      </w:r>
      <w:r>
        <w:rPr>
          <w:szCs w:val="18"/>
        </w:rPr>
        <w:t>production de froid et les diff</w:t>
      </w:r>
      <w:r w:rsidRPr="00346E3E">
        <w:rPr>
          <w:szCs w:val="18"/>
        </w:rPr>
        <w:t>érents ser</w:t>
      </w:r>
      <w:r>
        <w:rPr>
          <w:szCs w:val="18"/>
        </w:rPr>
        <w:t>pentins de refroidissements afi</w:t>
      </w:r>
      <w:r w:rsidRPr="00346E3E">
        <w:rPr>
          <w:szCs w:val="18"/>
        </w:rPr>
        <w:t>n d’éviter l</w:t>
      </w:r>
      <w:r>
        <w:rPr>
          <w:szCs w:val="18"/>
        </w:rPr>
        <w:t>e risque de brulure par gelure.</w:t>
      </w:r>
    </w:p>
    <w:p w14:paraId="08EB0CA2" w14:textId="77777777" w:rsidR="003E4333" w:rsidRDefault="003E4333" w:rsidP="0063032F">
      <w:pPr>
        <w:pStyle w:val="Paragraphedeliste"/>
        <w:numPr>
          <w:ilvl w:val="0"/>
          <w:numId w:val="66"/>
        </w:numPr>
        <w:jc w:val="both"/>
        <w:rPr>
          <w:szCs w:val="18"/>
        </w:rPr>
      </w:pPr>
      <w:r w:rsidRPr="00346E3E">
        <w:rPr>
          <w:szCs w:val="18"/>
        </w:rPr>
        <w:t xml:space="preserve">La partie de refroidissement technique visible de la patinoire sera rendue inaccessible au public. </w:t>
      </w:r>
    </w:p>
    <w:p w14:paraId="3C50634A" w14:textId="77777777" w:rsidR="003E4333" w:rsidRDefault="003E4333" w:rsidP="0063032F">
      <w:pPr>
        <w:pStyle w:val="Paragraphedeliste"/>
        <w:numPr>
          <w:ilvl w:val="0"/>
          <w:numId w:val="66"/>
        </w:numPr>
        <w:jc w:val="both"/>
        <w:rPr>
          <w:szCs w:val="18"/>
        </w:rPr>
      </w:pPr>
      <w:r w:rsidRPr="00346E3E">
        <w:rPr>
          <w:szCs w:val="18"/>
        </w:rPr>
        <w:t xml:space="preserve">En cas de problème technique avec le dispositif, le responsable sur place devra être capable de mettre à l’arrêt l’installation sans se mettre en danger. </w:t>
      </w:r>
    </w:p>
    <w:p w14:paraId="72FDEFD0" w14:textId="77777777" w:rsidR="003E4333" w:rsidRDefault="003E4333" w:rsidP="002126C4">
      <w:pPr>
        <w:pBdr>
          <w:top w:val="single" w:sz="4" w:space="1" w:color="auto"/>
          <w:left w:val="single" w:sz="4" w:space="4" w:color="auto"/>
          <w:bottom w:val="single" w:sz="4" w:space="1" w:color="auto"/>
          <w:right w:val="single" w:sz="4" w:space="4" w:color="auto"/>
        </w:pBdr>
        <w:jc w:val="both"/>
        <w:rPr>
          <w:szCs w:val="18"/>
        </w:rPr>
      </w:pPr>
      <w:r w:rsidRPr="00346E3E">
        <w:rPr>
          <w:szCs w:val="18"/>
        </w:rPr>
        <w:t xml:space="preserve">LA PATINOIRE </w:t>
      </w:r>
    </w:p>
    <w:p w14:paraId="12E5E7EA" w14:textId="77777777" w:rsidR="003E4333" w:rsidRDefault="003E4333" w:rsidP="0063032F">
      <w:pPr>
        <w:pStyle w:val="Paragraphedeliste"/>
        <w:numPr>
          <w:ilvl w:val="0"/>
          <w:numId w:val="67"/>
        </w:numPr>
        <w:jc w:val="both"/>
        <w:rPr>
          <w:szCs w:val="18"/>
        </w:rPr>
      </w:pPr>
      <w:r w:rsidRPr="00346E3E">
        <w:rPr>
          <w:szCs w:val="18"/>
        </w:rPr>
        <w:t>Une rambarde devra être placée entre les utilisateurs et le public. Celle-ci sera d’enviro</w:t>
      </w:r>
      <w:r>
        <w:rPr>
          <w:szCs w:val="18"/>
        </w:rPr>
        <w:t>n 1,2m de haut, les pieds de fi</w:t>
      </w:r>
      <w:r w:rsidRPr="00346E3E">
        <w:rPr>
          <w:szCs w:val="18"/>
        </w:rPr>
        <w:t>xatio</w:t>
      </w:r>
      <w:r>
        <w:rPr>
          <w:szCs w:val="18"/>
        </w:rPr>
        <w:t>n seront pris dans la glace afi</w:t>
      </w:r>
      <w:r w:rsidRPr="00346E3E">
        <w:rPr>
          <w:szCs w:val="18"/>
        </w:rPr>
        <w:t xml:space="preserve">n </w:t>
      </w:r>
      <w:r>
        <w:rPr>
          <w:szCs w:val="18"/>
        </w:rPr>
        <w:t>d’assurer un encrage solide afi</w:t>
      </w:r>
      <w:r w:rsidRPr="00346E3E">
        <w:rPr>
          <w:szCs w:val="18"/>
        </w:rPr>
        <w:t xml:space="preserve">n de résister aux rudes charges qu’elle devra subir. Une attention particulière devra </w:t>
      </w:r>
      <w:r>
        <w:rPr>
          <w:szCs w:val="18"/>
        </w:rPr>
        <w:t>être portée au soubassement afi</w:t>
      </w:r>
      <w:r w:rsidRPr="00346E3E">
        <w:rPr>
          <w:szCs w:val="18"/>
        </w:rPr>
        <w:t>n que les patineurs ne puissent pas se coincer les patins. L</w:t>
      </w:r>
      <w:r>
        <w:rPr>
          <w:szCs w:val="18"/>
        </w:rPr>
        <w:t>e soubassement devra être suffi</w:t>
      </w:r>
      <w:r w:rsidRPr="00346E3E">
        <w:rPr>
          <w:szCs w:val="18"/>
        </w:rPr>
        <w:t>samment solide pour absorber les chocs occasionnés par les patins sans se casser. La</w:t>
      </w:r>
      <w:r>
        <w:rPr>
          <w:szCs w:val="18"/>
        </w:rPr>
        <w:t xml:space="preserve"> rambarde devra être pleine afi</w:t>
      </w:r>
      <w:r w:rsidRPr="00346E3E">
        <w:rPr>
          <w:szCs w:val="18"/>
        </w:rPr>
        <w:t xml:space="preserve">n d’éviter que de jeunes enfants ne se blessent. </w:t>
      </w:r>
    </w:p>
    <w:p w14:paraId="18FEBE79" w14:textId="77777777" w:rsidR="003E4333" w:rsidRDefault="003E4333" w:rsidP="0063032F">
      <w:pPr>
        <w:pStyle w:val="Paragraphedeliste"/>
        <w:numPr>
          <w:ilvl w:val="0"/>
          <w:numId w:val="67"/>
        </w:numPr>
        <w:jc w:val="both"/>
        <w:rPr>
          <w:szCs w:val="18"/>
        </w:rPr>
      </w:pPr>
      <w:r w:rsidRPr="00346E3E">
        <w:rPr>
          <w:szCs w:val="18"/>
        </w:rPr>
        <w:t xml:space="preserve">Une sortie de secours entre la patinoire et les vestiaires devra être renseignée. </w:t>
      </w:r>
    </w:p>
    <w:p w14:paraId="7FDDDFDA" w14:textId="77777777" w:rsidR="003E4333" w:rsidRDefault="003E4333" w:rsidP="0063032F">
      <w:pPr>
        <w:pStyle w:val="Paragraphedeliste"/>
        <w:numPr>
          <w:ilvl w:val="0"/>
          <w:numId w:val="67"/>
        </w:numPr>
        <w:jc w:val="both"/>
        <w:rPr>
          <w:szCs w:val="18"/>
        </w:rPr>
      </w:pPr>
      <w:r w:rsidRPr="00346E3E">
        <w:rPr>
          <w:szCs w:val="18"/>
        </w:rPr>
        <w:t>Le nombre de patins disponibles devra être calculé en fonction de</w:t>
      </w:r>
      <w:r>
        <w:rPr>
          <w:szCs w:val="18"/>
        </w:rPr>
        <w:t xml:space="preserve"> la surface de la patinoire afi</w:t>
      </w:r>
      <w:r w:rsidRPr="00346E3E">
        <w:rPr>
          <w:szCs w:val="18"/>
        </w:rPr>
        <w:t xml:space="preserve">n que l’activité puisse être réalisée en toute sécurité. </w:t>
      </w:r>
    </w:p>
    <w:p w14:paraId="7DE19B5D" w14:textId="77777777" w:rsidR="003E4333" w:rsidRDefault="003E4333" w:rsidP="0063032F">
      <w:pPr>
        <w:pStyle w:val="Paragraphedeliste"/>
        <w:numPr>
          <w:ilvl w:val="0"/>
          <w:numId w:val="67"/>
        </w:numPr>
        <w:jc w:val="both"/>
        <w:rPr>
          <w:szCs w:val="18"/>
        </w:rPr>
      </w:pPr>
      <w:r w:rsidRPr="00346E3E">
        <w:rPr>
          <w:szCs w:val="18"/>
        </w:rPr>
        <w:t xml:space="preserve">Les patins devront être entretenus et dans un état qui garantit la sécurité des utilisateurs. </w:t>
      </w:r>
    </w:p>
    <w:p w14:paraId="531231A6" w14:textId="77777777" w:rsidR="003E4333" w:rsidRDefault="003E4333" w:rsidP="0063032F">
      <w:pPr>
        <w:pStyle w:val="Paragraphedeliste"/>
        <w:numPr>
          <w:ilvl w:val="0"/>
          <w:numId w:val="67"/>
        </w:numPr>
        <w:jc w:val="both"/>
        <w:rPr>
          <w:szCs w:val="18"/>
        </w:rPr>
      </w:pPr>
      <w:r w:rsidRPr="00346E3E">
        <w:rPr>
          <w:szCs w:val="18"/>
        </w:rPr>
        <w:t xml:space="preserve">Lors de l’exploitation de la patinoire, un responsable devra être présent en permanence. </w:t>
      </w:r>
    </w:p>
    <w:p w14:paraId="7C0798AC" w14:textId="77777777" w:rsidR="003E4333" w:rsidRDefault="003E4333" w:rsidP="0063032F">
      <w:pPr>
        <w:pStyle w:val="Paragraphedeliste"/>
        <w:numPr>
          <w:ilvl w:val="0"/>
          <w:numId w:val="67"/>
        </w:numPr>
        <w:jc w:val="both"/>
        <w:rPr>
          <w:szCs w:val="18"/>
        </w:rPr>
      </w:pPr>
      <w:r w:rsidRPr="00346E3E">
        <w:rPr>
          <w:szCs w:val="18"/>
        </w:rPr>
        <w:t xml:space="preserve">Un éclairage permanent devra être mis en place. </w:t>
      </w:r>
    </w:p>
    <w:p w14:paraId="4A7909DA" w14:textId="77777777" w:rsidR="003E4333" w:rsidRDefault="003E4333" w:rsidP="002126C4">
      <w:pPr>
        <w:pBdr>
          <w:top w:val="single" w:sz="4" w:space="1" w:color="auto"/>
          <w:left w:val="single" w:sz="4" w:space="4" w:color="auto"/>
          <w:bottom w:val="single" w:sz="4" w:space="1" w:color="auto"/>
          <w:right w:val="single" w:sz="4" w:space="4" w:color="auto"/>
        </w:pBdr>
        <w:jc w:val="both"/>
        <w:rPr>
          <w:szCs w:val="18"/>
        </w:rPr>
      </w:pPr>
      <w:r w:rsidRPr="00346E3E">
        <w:rPr>
          <w:szCs w:val="18"/>
        </w:rPr>
        <w:t xml:space="preserve">RACCORDEMENT ÉLECTRIQUE </w:t>
      </w:r>
    </w:p>
    <w:p w14:paraId="207BC458" w14:textId="77777777" w:rsidR="003E4333" w:rsidRPr="00346E3E" w:rsidRDefault="003E4333" w:rsidP="0063032F">
      <w:pPr>
        <w:pStyle w:val="Paragraphedeliste"/>
        <w:numPr>
          <w:ilvl w:val="0"/>
          <w:numId w:val="68"/>
        </w:numPr>
        <w:jc w:val="both"/>
        <w:rPr>
          <w:szCs w:val="18"/>
        </w:rPr>
      </w:pPr>
      <w:r w:rsidRPr="00346E3E">
        <w:rPr>
          <w:szCs w:val="18"/>
        </w:rPr>
        <w:t>Suite au caractère dangereux que représente l’utilisation d’eau et d’électricité, une attestation de conformité électrique devra être fournie avant le début de l’activité.</w:t>
      </w:r>
    </w:p>
    <w:p w14:paraId="70E89766" w14:textId="77777777" w:rsidR="00823A9A" w:rsidRPr="00823A9A" w:rsidRDefault="00823A9A" w:rsidP="0063032F">
      <w:pPr>
        <w:ind w:left="360"/>
        <w:jc w:val="both"/>
        <w:rPr>
          <w:szCs w:val="18"/>
        </w:rPr>
      </w:pPr>
    </w:p>
    <w:p w14:paraId="6F33E22A" w14:textId="545C607B" w:rsidR="00567F1A" w:rsidRPr="00823A9A" w:rsidRDefault="00567F1A" w:rsidP="0063032F">
      <w:pPr>
        <w:pStyle w:val="Titre"/>
        <w:numPr>
          <w:ilvl w:val="0"/>
          <w:numId w:val="72"/>
        </w:numPr>
        <w:pBdr>
          <w:top w:val="single" w:sz="4" w:space="1" w:color="auto"/>
          <w:left w:val="single" w:sz="4" w:space="4" w:color="auto"/>
          <w:bottom w:val="single" w:sz="4" w:space="1" w:color="auto"/>
          <w:right w:val="single" w:sz="4" w:space="4" w:color="auto"/>
        </w:pBdr>
        <w:jc w:val="both"/>
        <w:outlineLvl w:val="0"/>
      </w:pPr>
      <w:bookmarkStart w:id="144" w:name="_Toc56426936"/>
      <w:r w:rsidRPr="00823A9A">
        <w:lastRenderedPageBreak/>
        <w:t>Autres aspects relatifs à la sécurité des événements, pour lesquels la zone de secours ne doit pas être sollicitée</w:t>
      </w:r>
      <w:bookmarkEnd w:id="144"/>
      <w:r w:rsidRPr="00823A9A">
        <w:t xml:space="preserve"> </w:t>
      </w:r>
    </w:p>
    <w:p w14:paraId="34786948" w14:textId="77777777" w:rsidR="00567F1A" w:rsidRPr="00AB6090" w:rsidRDefault="00567F1A" w:rsidP="0063032F">
      <w:pPr>
        <w:jc w:val="both"/>
      </w:pPr>
    </w:p>
    <w:p w14:paraId="0A6BCB19" w14:textId="77777777" w:rsidR="00567F1A" w:rsidRPr="00AB6090" w:rsidRDefault="00567F1A" w:rsidP="0063032F">
      <w:pPr>
        <w:jc w:val="both"/>
      </w:pPr>
      <w:r w:rsidRPr="00AB6090">
        <w:t xml:space="preserve">Les éléments mentionnés dans ce chapitre n’amènent pas risques typiquement liés à l’incendie et donc l’avis de la zone de secours n’est pas requis.  Par contre, il est évident que le Bourgmestre, qui doit veiller à la sécurité sur son territoire, doit s’assurer que l’organisateur a pris toutes les mesures nécessaires pour que l’événement se déroule en toute sécurité.  A cette fin, la commune pourra utilement prescrire des mesures de sécurité dans l’autorisation qui est délivrée à l’organisateur. </w:t>
      </w:r>
    </w:p>
    <w:p w14:paraId="18CE3508" w14:textId="6AB44710" w:rsidR="00567F1A" w:rsidRPr="00AB6090" w:rsidRDefault="00567F1A" w:rsidP="0063032F">
      <w:pPr>
        <w:jc w:val="both"/>
      </w:pPr>
      <w:r w:rsidRPr="00AB6090">
        <w:t xml:space="preserve"> Afin d’aider l’autorité communale, ce chapitre reprend certaines règles de bonne pratique qui peuvent être utilisées pour établir les prescriptions minimales de sécurité. </w:t>
      </w:r>
    </w:p>
    <w:p w14:paraId="41298E37" w14:textId="2117312B" w:rsidR="00567F1A" w:rsidRPr="00AB6090" w:rsidRDefault="00567F1A" w:rsidP="0063032F">
      <w:pPr>
        <w:jc w:val="both"/>
      </w:pPr>
      <w:r w:rsidRPr="00AB6090">
        <w:t xml:space="preserve"> La liste finale des prescriptions sera établie par l’autorité communale dans l’autorisation qu’elle délivre, en fonction des prescriptions légales, de son analyse des risques, de l’analyse des risques de l’organisateur et des autres disciplines de secours (secours médicaux, police, aspects logistiques et communication).</w:t>
      </w:r>
    </w:p>
    <w:p w14:paraId="72419E75" w14:textId="77777777" w:rsidR="00876FBA" w:rsidRPr="00AB6090" w:rsidRDefault="00876FBA" w:rsidP="0063032F">
      <w:pPr>
        <w:jc w:val="both"/>
      </w:pPr>
    </w:p>
    <w:p w14:paraId="5A68DD79" w14:textId="1CDE714A" w:rsidR="00567F1A" w:rsidRPr="00AB6090" w:rsidRDefault="00567F1A" w:rsidP="0063032F">
      <w:pPr>
        <w:pStyle w:val="Style2"/>
        <w:numPr>
          <w:ilvl w:val="1"/>
          <w:numId w:val="79"/>
        </w:numPr>
        <w:jc w:val="both"/>
        <w:outlineLvl w:val="1"/>
      </w:pPr>
      <w:bookmarkStart w:id="145" w:name="_Toc55899695"/>
      <w:bookmarkStart w:id="146" w:name="_Toc55900439"/>
      <w:bookmarkStart w:id="147" w:name="_Toc56426937"/>
      <w:r w:rsidRPr="00AB6090">
        <w:t>Premiers secours médicaux</w:t>
      </w:r>
      <w:bookmarkEnd w:id="145"/>
      <w:bookmarkEnd w:id="146"/>
      <w:bookmarkEnd w:id="147"/>
    </w:p>
    <w:p w14:paraId="04054540" w14:textId="77777777" w:rsidR="00567F1A" w:rsidRPr="00AB6090" w:rsidRDefault="00567F1A" w:rsidP="0063032F">
      <w:pPr>
        <w:jc w:val="both"/>
      </w:pPr>
      <w:r w:rsidRPr="00AB6090">
        <w:t>L’évaluation du dispositif préventif en termes de soins médicaux est du ressort de la discipline 2.  On trouvera ci-dessous les principes généraux qui sont d’application selon les connaissances de la zone de secours, cependant toute question complémentaire ou précision à ce sujet devra être réglée avec la discipline 2 (Santé publique : Denis Copmans :</w:t>
      </w:r>
      <w:r w:rsidRPr="00AB6090">
        <w:rPr>
          <w:color w:val="808080"/>
          <w:sz w:val="14"/>
          <w:szCs w:val="21"/>
          <w:lang w:eastAsia="fr-BE"/>
        </w:rPr>
        <w:t xml:space="preserve"> </w:t>
      </w:r>
      <w:r w:rsidRPr="00AB6090">
        <w:t>Adjoint à l’Inspecteur d’Hygiène</w:t>
      </w:r>
      <w:r w:rsidRPr="00AB6090">
        <w:rPr>
          <w:color w:val="808080"/>
          <w:sz w:val="14"/>
          <w:szCs w:val="21"/>
          <w:lang w:eastAsia="fr-BE"/>
        </w:rPr>
        <w:t>)</w:t>
      </w:r>
      <w:r w:rsidRPr="00AB6090">
        <w:t xml:space="preserve">. </w:t>
      </w:r>
    </w:p>
    <w:p w14:paraId="593E5701" w14:textId="77777777" w:rsidR="00567F1A" w:rsidRPr="00AB6090" w:rsidRDefault="00567F1A" w:rsidP="0063032F">
      <w:pPr>
        <w:jc w:val="both"/>
      </w:pPr>
      <w:r w:rsidRPr="00AB6090">
        <w:t xml:space="preserve"> Toute manifestation pourra être évaluée sur le plan du risque médico-sanitaire.  Différents critères permettent d’attribuer un niveau de risque (de 1 à 5) en fonction du type de public et de son comportement prévisible, du type d’activités, des conditions météorologiques possibles, de la présence de structures à risques, etc.</w:t>
      </w:r>
    </w:p>
    <w:p w14:paraId="479CA864" w14:textId="77777777" w:rsidR="00567F1A" w:rsidRPr="00AB6090" w:rsidRDefault="00567F1A" w:rsidP="0063032F">
      <w:pPr>
        <w:jc w:val="both"/>
      </w:pPr>
      <w:r w:rsidRPr="00AB6090">
        <w:t xml:space="preserve">Selon le niveau de risque évalué, l’autorisation délivrée à l’organisateur par le Bourgmestre demandera de mettre sur pied un Dispositif Médical préventif (DMP). </w:t>
      </w:r>
    </w:p>
    <w:p w14:paraId="5FF4D4CD" w14:textId="77777777" w:rsidR="00567F1A" w:rsidRPr="00AB6090" w:rsidRDefault="00567F1A" w:rsidP="0063032F">
      <w:pPr>
        <w:pStyle w:val="Paragraphedeliste"/>
        <w:numPr>
          <w:ilvl w:val="0"/>
          <w:numId w:val="37"/>
        </w:numPr>
        <w:jc w:val="both"/>
      </w:pPr>
      <w:r w:rsidRPr="00AB6090">
        <w:t xml:space="preserve">Niveau 1 : pas de DMP exigé mais il est toujours recommandé de disposer d’une trousse de premiers secours en ordre et facilement accessible et d’eau. </w:t>
      </w:r>
    </w:p>
    <w:p w14:paraId="4E949975" w14:textId="77777777" w:rsidR="00567F1A" w:rsidRPr="00AB6090" w:rsidRDefault="00567F1A" w:rsidP="0063032F">
      <w:pPr>
        <w:pStyle w:val="Paragraphedeliste"/>
        <w:numPr>
          <w:ilvl w:val="0"/>
          <w:numId w:val="37"/>
        </w:numPr>
        <w:jc w:val="both"/>
      </w:pPr>
      <w:r w:rsidRPr="00AB6090">
        <w:t xml:space="preserve">Niveau 2 : un poste de premiers secours avec 3 à 8 secouristes, éventuellement des équipes mobiles selon l’étendue de la manifestation. </w:t>
      </w:r>
    </w:p>
    <w:p w14:paraId="35D0074E" w14:textId="77777777" w:rsidR="00567F1A" w:rsidRPr="00AB6090" w:rsidRDefault="00567F1A" w:rsidP="0063032F">
      <w:pPr>
        <w:pStyle w:val="Paragraphedeliste"/>
        <w:numPr>
          <w:ilvl w:val="0"/>
          <w:numId w:val="37"/>
        </w:numPr>
        <w:jc w:val="both"/>
      </w:pPr>
      <w:r w:rsidRPr="00AB6090">
        <w:t>Niveau 3 : un poste médical (4 secouristes + 1 infirmier badgé AMU) + une équipe d’intervention de 2 à 5 secouristes + 1 ambulance avec son personnel. Pour les manifestations dont le niveau de risque médico-sanitaire est égal à 4 ou 5, l’avis de la Commission provinciale de l’Aide Médicale Urgence (</w:t>
      </w:r>
      <w:proofErr w:type="spellStart"/>
      <w:r w:rsidRPr="00AB6090">
        <w:t>CoAMU</w:t>
      </w:r>
      <w:proofErr w:type="spellEnd"/>
      <w:r w:rsidRPr="00AB6090">
        <w:t xml:space="preserve">) sera requis au minimum deux mois avant la manifestation </w:t>
      </w:r>
    </w:p>
    <w:p w14:paraId="08B50119" w14:textId="77777777" w:rsidR="00567F1A" w:rsidRPr="00AB6090" w:rsidRDefault="00567F1A" w:rsidP="0063032F">
      <w:pPr>
        <w:jc w:val="both"/>
      </w:pPr>
      <w:r w:rsidRPr="00AB6090">
        <w:t xml:space="preserve"> </w:t>
      </w:r>
    </w:p>
    <w:p w14:paraId="22F7D3AE" w14:textId="77777777" w:rsidR="00567F1A" w:rsidRPr="00AB6090" w:rsidRDefault="00567F1A" w:rsidP="0063032F">
      <w:pPr>
        <w:jc w:val="both"/>
      </w:pPr>
      <w:r w:rsidRPr="00AB6090">
        <w:t xml:space="preserve">La zone de secours ne fournit pas de poste médical, une convention doit être conclue avec un autre partenaire. </w:t>
      </w:r>
    </w:p>
    <w:p w14:paraId="18808B83" w14:textId="77777777" w:rsidR="00567F1A" w:rsidRPr="00AB6090" w:rsidRDefault="00567F1A" w:rsidP="0063032F">
      <w:pPr>
        <w:jc w:val="both"/>
      </w:pPr>
      <w:r w:rsidRPr="00AB6090">
        <w:t xml:space="preserve">Le poste de secours sera situé à un endroit facilement identifiable par le public (indiqué par une signalétique), ou à un endroit « logique » si on dispose uniquement d’une trousse de premiers secours (chalet d’accueil, bar, tente de vente des tickets, etc.). Dans tous les cas, l’organisateur devra disposer d’un téléphone lui permettant d’appeler les secours et d’un aide-mémoire avec la liste des numéros de téléphone d’urgence. </w:t>
      </w:r>
    </w:p>
    <w:p w14:paraId="1674D724" w14:textId="77777777" w:rsidR="00567F1A" w:rsidRPr="00AB6090" w:rsidRDefault="00567F1A" w:rsidP="0063032F">
      <w:pPr>
        <w:jc w:val="both"/>
      </w:pPr>
    </w:p>
    <w:p w14:paraId="377B8A0D" w14:textId="77777777" w:rsidR="00823A9A" w:rsidRPr="00823A9A" w:rsidRDefault="00823A9A" w:rsidP="0063032F">
      <w:pPr>
        <w:pStyle w:val="Paragraphedeliste"/>
        <w:keepNext/>
        <w:keepLines/>
        <w:numPr>
          <w:ilvl w:val="0"/>
          <w:numId w:val="63"/>
        </w:numPr>
        <w:spacing w:before="40" w:after="0"/>
        <w:contextualSpacing w:val="0"/>
        <w:jc w:val="both"/>
        <w:outlineLvl w:val="3"/>
        <w:rPr>
          <w:rFonts w:ascii="PMingLiU-ExtB" w:eastAsiaTheme="majorEastAsia" w:hAnsi="PMingLiU-ExtB" w:cstheme="majorBidi"/>
          <w:b/>
          <w:vanish/>
          <w:color w:val="C71C12" w:themeColor="accent1" w:themeShade="BF"/>
          <w:sz w:val="30"/>
          <w:u w:val="single"/>
        </w:rPr>
      </w:pPr>
      <w:bookmarkStart w:id="148" w:name="_Toc55899696"/>
      <w:bookmarkStart w:id="149" w:name="_Toc55900440"/>
      <w:bookmarkEnd w:id="148"/>
      <w:bookmarkEnd w:id="149"/>
    </w:p>
    <w:p w14:paraId="594AA2E9" w14:textId="77777777" w:rsidR="00823A9A" w:rsidRPr="00823A9A" w:rsidRDefault="00823A9A" w:rsidP="0063032F">
      <w:pPr>
        <w:pStyle w:val="Paragraphedeliste"/>
        <w:keepNext/>
        <w:keepLines/>
        <w:numPr>
          <w:ilvl w:val="0"/>
          <w:numId w:val="63"/>
        </w:numPr>
        <w:spacing w:before="40" w:after="0"/>
        <w:contextualSpacing w:val="0"/>
        <w:jc w:val="both"/>
        <w:outlineLvl w:val="3"/>
        <w:rPr>
          <w:rFonts w:ascii="PMingLiU-ExtB" w:eastAsiaTheme="majorEastAsia" w:hAnsi="PMingLiU-ExtB" w:cstheme="majorBidi"/>
          <w:b/>
          <w:vanish/>
          <w:color w:val="C71C12" w:themeColor="accent1" w:themeShade="BF"/>
          <w:sz w:val="30"/>
          <w:u w:val="single"/>
        </w:rPr>
      </w:pPr>
      <w:bookmarkStart w:id="150" w:name="_Toc55899697"/>
      <w:bookmarkStart w:id="151" w:name="_Toc55900441"/>
      <w:bookmarkEnd w:id="150"/>
      <w:bookmarkEnd w:id="151"/>
    </w:p>
    <w:p w14:paraId="279F1762" w14:textId="77777777" w:rsidR="00823A9A" w:rsidRPr="00823A9A" w:rsidRDefault="00823A9A" w:rsidP="0063032F">
      <w:pPr>
        <w:pStyle w:val="Paragraphedeliste"/>
        <w:keepNext/>
        <w:keepLines/>
        <w:numPr>
          <w:ilvl w:val="0"/>
          <w:numId w:val="63"/>
        </w:numPr>
        <w:spacing w:before="40" w:after="0"/>
        <w:contextualSpacing w:val="0"/>
        <w:jc w:val="both"/>
        <w:outlineLvl w:val="3"/>
        <w:rPr>
          <w:rFonts w:ascii="PMingLiU-ExtB" w:eastAsiaTheme="majorEastAsia" w:hAnsi="PMingLiU-ExtB" w:cstheme="majorBidi"/>
          <w:b/>
          <w:vanish/>
          <w:color w:val="C71C12" w:themeColor="accent1" w:themeShade="BF"/>
          <w:sz w:val="30"/>
          <w:u w:val="single"/>
        </w:rPr>
      </w:pPr>
      <w:bookmarkStart w:id="152" w:name="_Toc55899698"/>
      <w:bookmarkStart w:id="153" w:name="_Toc55900442"/>
      <w:bookmarkEnd w:id="152"/>
      <w:bookmarkEnd w:id="153"/>
    </w:p>
    <w:p w14:paraId="3F1CE57B" w14:textId="77777777" w:rsidR="00823A9A" w:rsidRPr="00823A9A" w:rsidRDefault="00823A9A" w:rsidP="0063032F">
      <w:pPr>
        <w:pStyle w:val="Paragraphedeliste"/>
        <w:keepNext/>
        <w:keepLines/>
        <w:numPr>
          <w:ilvl w:val="0"/>
          <w:numId w:val="63"/>
        </w:numPr>
        <w:spacing w:before="40" w:after="0"/>
        <w:contextualSpacing w:val="0"/>
        <w:jc w:val="both"/>
        <w:outlineLvl w:val="3"/>
        <w:rPr>
          <w:rFonts w:ascii="PMingLiU-ExtB" w:eastAsiaTheme="majorEastAsia" w:hAnsi="PMingLiU-ExtB" w:cstheme="majorBidi"/>
          <w:b/>
          <w:vanish/>
          <w:color w:val="C71C12" w:themeColor="accent1" w:themeShade="BF"/>
          <w:sz w:val="30"/>
          <w:u w:val="single"/>
        </w:rPr>
      </w:pPr>
      <w:bookmarkStart w:id="154" w:name="_Toc55899699"/>
      <w:bookmarkStart w:id="155" w:name="_Toc55900443"/>
      <w:bookmarkEnd w:id="154"/>
      <w:bookmarkEnd w:id="155"/>
    </w:p>
    <w:p w14:paraId="54FADD5D" w14:textId="77777777" w:rsidR="00823A9A" w:rsidRPr="00823A9A" w:rsidRDefault="00823A9A" w:rsidP="0063032F">
      <w:pPr>
        <w:pStyle w:val="Paragraphedeliste"/>
        <w:keepNext/>
        <w:keepLines/>
        <w:numPr>
          <w:ilvl w:val="0"/>
          <w:numId w:val="63"/>
        </w:numPr>
        <w:spacing w:before="40" w:after="0"/>
        <w:contextualSpacing w:val="0"/>
        <w:jc w:val="both"/>
        <w:outlineLvl w:val="3"/>
        <w:rPr>
          <w:rFonts w:ascii="PMingLiU-ExtB" w:eastAsiaTheme="majorEastAsia" w:hAnsi="PMingLiU-ExtB" w:cstheme="majorBidi"/>
          <w:b/>
          <w:vanish/>
          <w:color w:val="C71C12" w:themeColor="accent1" w:themeShade="BF"/>
          <w:sz w:val="30"/>
          <w:u w:val="single"/>
        </w:rPr>
      </w:pPr>
      <w:bookmarkStart w:id="156" w:name="_Toc55899700"/>
      <w:bookmarkStart w:id="157" w:name="_Toc55900444"/>
      <w:bookmarkEnd w:id="156"/>
      <w:bookmarkEnd w:id="157"/>
    </w:p>
    <w:p w14:paraId="4037E5E4" w14:textId="77777777" w:rsidR="00823A9A" w:rsidRPr="00823A9A" w:rsidRDefault="00823A9A" w:rsidP="0063032F">
      <w:pPr>
        <w:pStyle w:val="Paragraphedeliste"/>
        <w:keepNext/>
        <w:keepLines/>
        <w:numPr>
          <w:ilvl w:val="0"/>
          <w:numId w:val="63"/>
        </w:numPr>
        <w:spacing w:before="40" w:after="0"/>
        <w:contextualSpacing w:val="0"/>
        <w:jc w:val="both"/>
        <w:outlineLvl w:val="3"/>
        <w:rPr>
          <w:rFonts w:ascii="PMingLiU-ExtB" w:eastAsiaTheme="majorEastAsia" w:hAnsi="PMingLiU-ExtB" w:cstheme="majorBidi"/>
          <w:b/>
          <w:vanish/>
          <w:color w:val="C71C12" w:themeColor="accent1" w:themeShade="BF"/>
          <w:sz w:val="30"/>
          <w:u w:val="single"/>
        </w:rPr>
      </w:pPr>
      <w:bookmarkStart w:id="158" w:name="_Toc55899701"/>
      <w:bookmarkStart w:id="159" w:name="_Toc55900445"/>
      <w:bookmarkEnd w:id="158"/>
      <w:bookmarkEnd w:id="159"/>
    </w:p>
    <w:p w14:paraId="78938496" w14:textId="77777777" w:rsidR="00823A9A" w:rsidRPr="00823A9A" w:rsidRDefault="00823A9A" w:rsidP="0063032F">
      <w:pPr>
        <w:pStyle w:val="Paragraphedeliste"/>
        <w:keepNext/>
        <w:keepLines/>
        <w:numPr>
          <w:ilvl w:val="1"/>
          <w:numId w:val="63"/>
        </w:numPr>
        <w:spacing w:before="40" w:after="0"/>
        <w:contextualSpacing w:val="0"/>
        <w:jc w:val="both"/>
        <w:outlineLvl w:val="3"/>
        <w:rPr>
          <w:rFonts w:ascii="PMingLiU-ExtB" w:eastAsiaTheme="majorEastAsia" w:hAnsi="PMingLiU-ExtB" w:cstheme="majorBidi"/>
          <w:b/>
          <w:vanish/>
          <w:color w:val="C71C12" w:themeColor="accent1" w:themeShade="BF"/>
          <w:sz w:val="30"/>
          <w:u w:val="single"/>
        </w:rPr>
      </w:pPr>
      <w:bookmarkStart w:id="160" w:name="_Toc55899702"/>
      <w:bookmarkStart w:id="161" w:name="_Toc55900446"/>
      <w:bookmarkEnd w:id="160"/>
      <w:bookmarkEnd w:id="161"/>
    </w:p>
    <w:p w14:paraId="1B6E3C8C" w14:textId="25ACFDDB" w:rsidR="00567F1A" w:rsidRPr="00AB6090" w:rsidRDefault="00567F1A" w:rsidP="0063032F">
      <w:pPr>
        <w:pStyle w:val="Style2"/>
        <w:jc w:val="both"/>
        <w:outlineLvl w:val="1"/>
      </w:pPr>
      <w:bookmarkStart w:id="162" w:name="_Toc55899703"/>
      <w:bookmarkStart w:id="163" w:name="_Toc55900447"/>
      <w:bookmarkStart w:id="164" w:name="_Toc56426938"/>
      <w:r w:rsidRPr="00AB6090">
        <w:t xml:space="preserve">Mesures de sécurité </w:t>
      </w:r>
      <w:r w:rsidRPr="00CE292C">
        <w:t>liées</w:t>
      </w:r>
      <w:r w:rsidRPr="00AB6090">
        <w:t xml:space="preserve"> aux compétences des autres services de secours.</w:t>
      </w:r>
      <w:bookmarkEnd w:id="162"/>
      <w:bookmarkEnd w:id="163"/>
      <w:bookmarkEnd w:id="164"/>
    </w:p>
    <w:p w14:paraId="6F1590BC" w14:textId="77777777" w:rsidR="00567F1A" w:rsidRDefault="00567F1A" w:rsidP="0063032F">
      <w:pPr>
        <w:jc w:val="both"/>
      </w:pPr>
      <w:r w:rsidRPr="00AB6090">
        <w:t>Les mesures de sécurité liées aux compétences de la discipline 1 (zone de secours) font l’objet de ce document.  Celles liées à la discipline 2 (aspects médicaux et psycho-sociaux) sont partiellement traitées au § 6.1.  Il importe également que l’autorité communale se renseigne auprès des autres disciplines de secours (D3 : police, D4 : logistique et D5 : communication) pour connaître quels sont leurs besoins et leurs prescriptions en matière de sécurité de l’événement envisagé</w:t>
      </w:r>
      <w:r w:rsidR="00876FBA" w:rsidRPr="00AB6090">
        <w:t>.</w:t>
      </w:r>
    </w:p>
    <w:p w14:paraId="0BDBACA4" w14:textId="77777777" w:rsidR="002126C4" w:rsidRPr="00AB6090" w:rsidRDefault="002126C4" w:rsidP="0063032F">
      <w:pPr>
        <w:jc w:val="both"/>
      </w:pPr>
    </w:p>
    <w:p w14:paraId="295E803F" w14:textId="77777777" w:rsidR="00567F1A" w:rsidRPr="00AB6090" w:rsidRDefault="00567F1A" w:rsidP="0063032F">
      <w:pPr>
        <w:pStyle w:val="Style2"/>
        <w:jc w:val="both"/>
        <w:outlineLvl w:val="1"/>
      </w:pPr>
      <w:bookmarkStart w:id="165" w:name="_Toc55899704"/>
      <w:bookmarkStart w:id="166" w:name="_Toc55900448"/>
      <w:bookmarkStart w:id="167" w:name="_Toc56426939"/>
      <w:r w:rsidRPr="00CE292C">
        <w:t>Infrastructures</w:t>
      </w:r>
      <w:r w:rsidRPr="00AB6090">
        <w:t xml:space="preserve"> portantes provisoires</w:t>
      </w:r>
      <w:bookmarkEnd w:id="165"/>
      <w:bookmarkEnd w:id="166"/>
      <w:bookmarkEnd w:id="167"/>
    </w:p>
    <w:p w14:paraId="296AC5C8" w14:textId="77777777" w:rsidR="00567F1A" w:rsidRPr="00AB6090" w:rsidRDefault="00567F1A" w:rsidP="0063032F">
      <w:pPr>
        <w:jc w:val="both"/>
      </w:pPr>
      <w:r w:rsidRPr="00AB6090">
        <w:t xml:space="preserve">Cette rubrique concerne les tours de régie son et lumière, les podiums, gradins, scènes, tout matériel suspendu, etc. </w:t>
      </w:r>
    </w:p>
    <w:p w14:paraId="00325BC8" w14:textId="77777777" w:rsidR="00567F1A" w:rsidRPr="00AB6090" w:rsidRDefault="00567F1A" w:rsidP="0063032F">
      <w:pPr>
        <w:pStyle w:val="Paragraphedeliste"/>
        <w:numPr>
          <w:ilvl w:val="0"/>
          <w:numId w:val="38"/>
        </w:numPr>
        <w:jc w:val="both"/>
      </w:pPr>
      <w:r w:rsidRPr="00AB6090">
        <w:t xml:space="preserve">En fonction de l’analyse du risque, un organisme spécialisé en stabilité ou un ingénieur en stabilité attestera de la stabilité et de la qualité du montage.  </w:t>
      </w:r>
    </w:p>
    <w:p w14:paraId="26F7BE22" w14:textId="77777777" w:rsidR="00567F1A" w:rsidRPr="00AB6090" w:rsidRDefault="00567F1A" w:rsidP="0063032F">
      <w:pPr>
        <w:pStyle w:val="Paragraphedeliste"/>
        <w:numPr>
          <w:ilvl w:val="0"/>
          <w:numId w:val="38"/>
        </w:numPr>
        <w:jc w:val="both"/>
      </w:pPr>
      <w:r w:rsidRPr="00AB6090">
        <w:t xml:space="preserve">Des dispositifs de protection peuvent être imposés afin d’éviter l’escalade de ces infrastructures par le public. </w:t>
      </w:r>
    </w:p>
    <w:p w14:paraId="0945D3DB" w14:textId="77777777" w:rsidR="00567F1A" w:rsidRPr="00AB6090" w:rsidRDefault="00567F1A" w:rsidP="0063032F">
      <w:pPr>
        <w:pStyle w:val="Paragraphedeliste"/>
        <w:numPr>
          <w:ilvl w:val="0"/>
          <w:numId w:val="38"/>
        </w:numPr>
        <w:jc w:val="both"/>
      </w:pPr>
      <w:r w:rsidRPr="00AB6090">
        <w:t xml:space="preserve">En ce qui concerne les gradins : </w:t>
      </w:r>
    </w:p>
    <w:p w14:paraId="56DD2E95" w14:textId="77777777" w:rsidR="00567F1A" w:rsidRPr="00AB6090" w:rsidRDefault="00567F1A" w:rsidP="0063032F">
      <w:pPr>
        <w:pStyle w:val="Paragraphedeliste"/>
        <w:numPr>
          <w:ilvl w:val="1"/>
          <w:numId w:val="38"/>
        </w:numPr>
        <w:jc w:val="both"/>
      </w:pPr>
      <w:r w:rsidRPr="00AB6090">
        <w:lastRenderedPageBreak/>
        <w:t xml:space="preserve">L’espace éventuel situé sous les gradins doit être rendu inaccessible au public. </w:t>
      </w:r>
    </w:p>
    <w:p w14:paraId="7E50E28A" w14:textId="77777777" w:rsidR="00567F1A" w:rsidRPr="00AB6090" w:rsidRDefault="00567F1A" w:rsidP="0063032F">
      <w:pPr>
        <w:pStyle w:val="Paragraphedeliste"/>
        <w:numPr>
          <w:ilvl w:val="1"/>
          <w:numId w:val="38"/>
        </w:numPr>
        <w:jc w:val="both"/>
      </w:pPr>
      <w:r w:rsidRPr="00AB6090">
        <w:t xml:space="preserve">L’espace éventuel situé sous les gradins ne peut pas servir de rangement de matériel ou de lieu de stockage et doit être maintenu en permanence en parfait état de propreté. </w:t>
      </w:r>
    </w:p>
    <w:p w14:paraId="000FD53A" w14:textId="77777777" w:rsidR="00567F1A" w:rsidRPr="00AB6090" w:rsidRDefault="00567F1A" w:rsidP="0063032F">
      <w:pPr>
        <w:pStyle w:val="Paragraphedeliste"/>
        <w:numPr>
          <w:ilvl w:val="1"/>
          <w:numId w:val="38"/>
        </w:numPr>
        <w:jc w:val="both"/>
      </w:pPr>
      <w:r w:rsidRPr="00AB6090">
        <w:t xml:space="preserve">Une règle de bonne pratique est d’autoriser un nombre maximum de places assises de 40 par rangée, entre deux allées.  Ce nombre est réduit à 20 places maximum par rangée si un des côtés n’est pas bordé d’une allée d’évacuation. </w:t>
      </w:r>
    </w:p>
    <w:p w14:paraId="7A73C6BE" w14:textId="77777777" w:rsidR="00567F1A" w:rsidRPr="00AB6090" w:rsidRDefault="00567F1A" w:rsidP="0063032F">
      <w:pPr>
        <w:pStyle w:val="Paragraphedeliste"/>
        <w:numPr>
          <w:ilvl w:val="0"/>
          <w:numId w:val="38"/>
        </w:numPr>
        <w:jc w:val="both"/>
      </w:pPr>
      <w:r w:rsidRPr="00AB6090">
        <w:t xml:space="preserve">Les lieux accessibles au public et situés en hauteur doivent être pourvus de garde-corps d’une hauteur minimale de 1.1 m et pourvus des lisses et contre-lisses adéquates. </w:t>
      </w:r>
    </w:p>
    <w:p w14:paraId="469C5B77" w14:textId="77777777" w:rsidR="005760C5" w:rsidRPr="00AB6090" w:rsidRDefault="00567F1A" w:rsidP="0063032F">
      <w:pPr>
        <w:pStyle w:val="Paragraphedeliste"/>
        <w:numPr>
          <w:ilvl w:val="0"/>
          <w:numId w:val="38"/>
        </w:numPr>
        <w:jc w:val="both"/>
      </w:pPr>
      <w:r w:rsidRPr="00AB6090">
        <w:t>Tout élément suspendu doit posséder un double système d’accrochage.</w:t>
      </w:r>
    </w:p>
    <w:p w14:paraId="776DAFD4" w14:textId="77777777" w:rsidR="00876FBA" w:rsidRPr="00AB6090" w:rsidRDefault="00876FBA" w:rsidP="0063032F">
      <w:pPr>
        <w:pStyle w:val="Paragraphedeliste"/>
        <w:jc w:val="both"/>
        <w:outlineLvl w:val="1"/>
      </w:pPr>
    </w:p>
    <w:p w14:paraId="45FF62C8" w14:textId="77777777" w:rsidR="00567F1A" w:rsidRPr="00AB6090" w:rsidRDefault="00876AD3" w:rsidP="0063032F">
      <w:pPr>
        <w:pStyle w:val="Style2"/>
        <w:jc w:val="both"/>
        <w:outlineLvl w:val="1"/>
      </w:pPr>
      <w:bookmarkStart w:id="168" w:name="_Toc55899705"/>
      <w:bookmarkStart w:id="169" w:name="_Toc55900449"/>
      <w:bookmarkStart w:id="170" w:name="_Toc56426940"/>
      <w:r w:rsidRPr="00AB6090">
        <w:t xml:space="preserve">Lâcher de </w:t>
      </w:r>
      <w:r w:rsidRPr="00CE292C">
        <w:t>ballonnets</w:t>
      </w:r>
      <w:bookmarkEnd w:id="168"/>
      <w:bookmarkEnd w:id="169"/>
      <w:bookmarkEnd w:id="170"/>
    </w:p>
    <w:p w14:paraId="717D7BC7" w14:textId="77777777" w:rsidR="00876AD3" w:rsidRPr="00AB6090" w:rsidRDefault="00876AD3" w:rsidP="0063032F">
      <w:pPr>
        <w:pStyle w:val="Paragraphedeliste"/>
        <w:numPr>
          <w:ilvl w:val="0"/>
          <w:numId w:val="39"/>
        </w:numPr>
        <w:jc w:val="both"/>
      </w:pPr>
      <w:r w:rsidRPr="00AB6090">
        <w:t xml:space="preserve">Les ballonnets doivent répondre aux caractéristiques suivantes : </w:t>
      </w:r>
    </w:p>
    <w:p w14:paraId="76027B6C" w14:textId="77777777" w:rsidR="00876AD3" w:rsidRPr="00AB6090" w:rsidRDefault="00876AD3" w:rsidP="0063032F">
      <w:pPr>
        <w:pStyle w:val="Paragraphedeliste"/>
        <w:numPr>
          <w:ilvl w:val="0"/>
          <w:numId w:val="39"/>
        </w:numPr>
        <w:jc w:val="both"/>
      </w:pPr>
      <w:r w:rsidRPr="00AB6090">
        <w:t xml:space="preserve">Les ballonnets doivent être fabriqués en caoutchouc ou latex, et ne peuvent donc pas être fabriqués en feuille métallique ; </w:t>
      </w:r>
    </w:p>
    <w:p w14:paraId="5845E16F" w14:textId="77777777" w:rsidR="00876AD3" w:rsidRPr="00AB6090" w:rsidRDefault="00876AD3" w:rsidP="0063032F">
      <w:pPr>
        <w:pStyle w:val="Paragraphedeliste"/>
        <w:numPr>
          <w:ilvl w:val="0"/>
          <w:numId w:val="39"/>
        </w:numPr>
        <w:jc w:val="both"/>
      </w:pPr>
      <w:r w:rsidRPr="00AB6090">
        <w:t xml:space="preserve">Les ballonnets ne peuvent contenir d’éléments en plastique ou métal ; ils ne peuvent pas être fermés avec un clip ou un anneau fabriqué dans ces matériaux ; </w:t>
      </w:r>
    </w:p>
    <w:p w14:paraId="0BE63B44" w14:textId="77777777" w:rsidR="00876AD3" w:rsidRPr="00AB6090" w:rsidRDefault="00876AD3" w:rsidP="0063032F">
      <w:pPr>
        <w:pStyle w:val="Paragraphedeliste"/>
        <w:numPr>
          <w:ilvl w:val="0"/>
          <w:numId w:val="39"/>
        </w:numPr>
        <w:jc w:val="both"/>
      </w:pPr>
      <w:r w:rsidRPr="00AB6090">
        <w:t xml:space="preserve">Aucun objet ne peut être attaché aux ballonnets à l’exception d’une cordelette et d’une carte (en papier ou carton) ; </w:t>
      </w:r>
    </w:p>
    <w:p w14:paraId="1A7C4E50" w14:textId="77777777" w:rsidR="00876AD3" w:rsidRPr="00AB6090" w:rsidRDefault="00876AD3" w:rsidP="0063032F">
      <w:pPr>
        <w:pStyle w:val="Paragraphedeliste"/>
        <w:numPr>
          <w:ilvl w:val="0"/>
          <w:numId w:val="39"/>
        </w:numPr>
        <w:jc w:val="both"/>
      </w:pPr>
      <w:r w:rsidRPr="00AB6090">
        <w:t xml:space="preserve">Les ballonnets ne peuvent être attachés ensemble ni former de grappes. </w:t>
      </w:r>
    </w:p>
    <w:p w14:paraId="2DD505CA" w14:textId="77777777" w:rsidR="00876AD3" w:rsidRPr="00AB6090" w:rsidRDefault="00876AD3" w:rsidP="0063032F">
      <w:pPr>
        <w:jc w:val="both"/>
      </w:pPr>
      <w:r w:rsidRPr="00AB6090">
        <w:t xml:space="preserve">  L’autorisation du SPF Mobilité et Transport, section Transport Aérien, est requise si plus de 5000 ballonnets sont lâchés simultanément. </w:t>
      </w:r>
    </w:p>
    <w:p w14:paraId="604BEF19" w14:textId="77777777" w:rsidR="00876FBA" w:rsidRPr="00AB6090" w:rsidRDefault="00876AD3" w:rsidP="0063032F">
      <w:pPr>
        <w:jc w:val="both"/>
      </w:pPr>
      <w:r w:rsidRPr="00AB6090">
        <w:t xml:space="preserve"> De plus, cette même autorisation est requise pour tout lâcher simultané de plus de 1000 ballonnets si le lâcher est organisé à proximité d’un aéroport.  La zone considérée comme à proximité d’un aéroport, appelée « zone 1 », est définie dans la législation6 et sur le site du SPF Mobilité.  On trouvera sur ce même site web les formulaires de demande d’autorisation.</w:t>
      </w:r>
    </w:p>
    <w:p w14:paraId="5C206E51" w14:textId="77777777" w:rsidR="00876FBA" w:rsidRPr="00AB6090" w:rsidRDefault="00876FBA" w:rsidP="0063032F">
      <w:pPr>
        <w:jc w:val="both"/>
      </w:pPr>
    </w:p>
    <w:p w14:paraId="63350A44" w14:textId="77777777" w:rsidR="00876AD3" w:rsidRPr="00AB6090" w:rsidRDefault="00876AD3" w:rsidP="0063032F">
      <w:pPr>
        <w:pStyle w:val="Style2"/>
        <w:jc w:val="both"/>
        <w:outlineLvl w:val="1"/>
      </w:pPr>
      <w:bookmarkStart w:id="171" w:name="_Toc55899706"/>
      <w:bookmarkStart w:id="172" w:name="_Toc55900450"/>
      <w:bookmarkStart w:id="173" w:name="_Toc56426941"/>
      <w:r w:rsidRPr="00AB6090">
        <w:t xml:space="preserve">Aires </w:t>
      </w:r>
      <w:r w:rsidRPr="00CE292C">
        <w:t>de</w:t>
      </w:r>
      <w:r w:rsidRPr="00AB6090">
        <w:t xml:space="preserve"> jeux temporaires pour enfants et châteaux gonflables</w:t>
      </w:r>
      <w:bookmarkEnd w:id="171"/>
      <w:bookmarkEnd w:id="172"/>
      <w:bookmarkEnd w:id="173"/>
    </w:p>
    <w:p w14:paraId="04D7C1AD" w14:textId="77777777" w:rsidR="00876AD3" w:rsidRPr="00AB6090" w:rsidRDefault="00876AD3" w:rsidP="0063032F">
      <w:pPr>
        <w:jc w:val="both"/>
      </w:pPr>
      <w:r w:rsidRPr="00AB6090">
        <w:t xml:space="preserve">L’organisateur qui installe temporairement des équipements d’aire de jeux (châteaux gonflables, toboggans, balançoires, etc.) devient exploitant d’une aire de jeux.  Il doit s’assurer que les enfants puissent y jouer en toute sécurité.  En particulier, la réglementation impose notamment de réaliser une analyse de risque, de prendre des mesures préventives et de les appliquer, d’établir un schéma d’inspection et d’entretien et d’indiquer les noms et coordonnées de l’exploitant. </w:t>
      </w:r>
    </w:p>
    <w:p w14:paraId="642DBDB2" w14:textId="77777777" w:rsidR="00876AD3" w:rsidRPr="00AB6090" w:rsidRDefault="00876AD3" w:rsidP="0063032F">
      <w:pPr>
        <w:jc w:val="both"/>
        <w:rPr>
          <w:b/>
          <w:u w:val="single"/>
        </w:rPr>
      </w:pPr>
      <w:r w:rsidRPr="00AB6090">
        <w:rPr>
          <w:b/>
          <w:u w:val="single"/>
        </w:rPr>
        <w:t xml:space="preserve">En ce qui concerne les châteaux gonflables :  </w:t>
      </w:r>
    </w:p>
    <w:p w14:paraId="49D34A2D" w14:textId="77777777" w:rsidR="00876AD3" w:rsidRPr="00AB6090" w:rsidRDefault="00876AD3" w:rsidP="0063032F">
      <w:pPr>
        <w:pStyle w:val="Paragraphedeliste"/>
        <w:numPr>
          <w:ilvl w:val="0"/>
          <w:numId w:val="40"/>
        </w:numPr>
        <w:jc w:val="both"/>
      </w:pPr>
      <w:r w:rsidRPr="00AB6090">
        <w:t xml:space="preserve">Exiger du loueur ou vendeur un château conforme à la norme EN 14960. </w:t>
      </w:r>
    </w:p>
    <w:p w14:paraId="49D18B7F" w14:textId="77777777" w:rsidR="00876AD3" w:rsidRPr="00AB6090" w:rsidRDefault="00876AD3" w:rsidP="0063032F">
      <w:pPr>
        <w:pStyle w:val="Paragraphedeliste"/>
        <w:numPr>
          <w:ilvl w:val="0"/>
          <w:numId w:val="40"/>
        </w:numPr>
        <w:jc w:val="both"/>
      </w:pPr>
      <w:r w:rsidRPr="00AB6090">
        <w:t xml:space="preserve">Exiger du loueur ou vendeur les prescriptions relatives à l’utilisation et au montage (lestage, ancrage, implantation, tranche d’âge, mesures de surveillance, etc.). </w:t>
      </w:r>
    </w:p>
    <w:p w14:paraId="06E1573D" w14:textId="77777777" w:rsidR="00876AD3" w:rsidRPr="00AB6090" w:rsidRDefault="00876AD3" w:rsidP="0063032F">
      <w:pPr>
        <w:pStyle w:val="Paragraphedeliste"/>
        <w:numPr>
          <w:ilvl w:val="0"/>
          <w:numId w:val="40"/>
        </w:numPr>
        <w:jc w:val="both"/>
      </w:pPr>
      <w:r w:rsidRPr="00AB6090">
        <w:t>Respecter ces prescriptions.</w:t>
      </w:r>
    </w:p>
    <w:p w14:paraId="0DDC794F" w14:textId="77777777" w:rsidR="00876AD3" w:rsidRPr="00AB6090" w:rsidRDefault="00876AD3" w:rsidP="0063032F">
      <w:pPr>
        <w:pStyle w:val="Paragraphedeliste"/>
        <w:numPr>
          <w:ilvl w:val="0"/>
          <w:numId w:val="40"/>
        </w:numPr>
        <w:jc w:val="both"/>
      </w:pPr>
      <w:r w:rsidRPr="00AB6090">
        <w:t xml:space="preserve">Ne pas utiliser le château gonflable si la vitesse du vent est supérieure à 38 km/h. </w:t>
      </w:r>
    </w:p>
    <w:p w14:paraId="5E267D60" w14:textId="77777777" w:rsidR="00876AD3" w:rsidRPr="00AB6090" w:rsidRDefault="00876AD3" w:rsidP="0063032F">
      <w:pPr>
        <w:pStyle w:val="Paragraphedeliste"/>
        <w:numPr>
          <w:ilvl w:val="0"/>
          <w:numId w:val="40"/>
        </w:numPr>
        <w:jc w:val="both"/>
      </w:pPr>
      <w:r w:rsidRPr="00AB6090">
        <w:t xml:space="preserve">Installer la soufflerie, le câblage et les commandes hors de portée du public. </w:t>
      </w:r>
    </w:p>
    <w:p w14:paraId="05A4B621" w14:textId="77777777" w:rsidR="00876AD3" w:rsidRPr="00AB6090" w:rsidRDefault="00876AD3" w:rsidP="0063032F">
      <w:pPr>
        <w:pStyle w:val="Paragraphedeliste"/>
        <w:numPr>
          <w:ilvl w:val="0"/>
          <w:numId w:val="40"/>
        </w:numPr>
        <w:jc w:val="both"/>
      </w:pPr>
      <w:r w:rsidRPr="00AB6090">
        <w:t xml:space="preserve">Veiller à implanter le château gonflable en dehors de tout risque (ex : ligne électrique aérienne, bulle à verre, obstacle saillant tel une clôture, risque lié à la circulation automobile ou autre, etc.) ; sur un terrain dont la pente est inférieure à 5% ; sur un terrain dépourvu de débris ou objets pointus ; à un endroit où les enfants ne peuvent pas se servir du château pour grimper sur d’autres éléments (arbre, mur, …). </w:t>
      </w:r>
    </w:p>
    <w:p w14:paraId="1AEBB2D5" w14:textId="77777777" w:rsidR="00876AD3" w:rsidRPr="00AB6090" w:rsidRDefault="00876AD3" w:rsidP="0063032F">
      <w:pPr>
        <w:pStyle w:val="Paragraphedeliste"/>
        <w:numPr>
          <w:ilvl w:val="0"/>
          <w:numId w:val="40"/>
        </w:numPr>
        <w:jc w:val="both"/>
      </w:pPr>
      <w:r w:rsidRPr="00AB6090">
        <w:t xml:space="preserve">S’assurer d’une zone de sécurité autour du château gonflable afin de pouvoir contrôler le public. </w:t>
      </w:r>
    </w:p>
    <w:p w14:paraId="5F385A9C" w14:textId="77777777" w:rsidR="00876AD3" w:rsidRPr="00AB6090" w:rsidRDefault="00876AD3" w:rsidP="0063032F">
      <w:pPr>
        <w:pStyle w:val="Paragraphedeliste"/>
        <w:numPr>
          <w:ilvl w:val="0"/>
          <w:numId w:val="40"/>
        </w:numPr>
        <w:jc w:val="both"/>
      </w:pPr>
      <w:r w:rsidRPr="00AB6090">
        <w:t xml:space="preserve">Ne pas utiliser sans supervision, dégonfler en l’absence de surveillant. </w:t>
      </w:r>
    </w:p>
    <w:p w14:paraId="0FF90C95" w14:textId="77777777" w:rsidR="00876AD3" w:rsidRPr="00AB6090" w:rsidRDefault="00876AD3" w:rsidP="0063032F">
      <w:pPr>
        <w:pStyle w:val="Paragraphedeliste"/>
        <w:numPr>
          <w:ilvl w:val="0"/>
          <w:numId w:val="40"/>
        </w:numPr>
        <w:jc w:val="both"/>
      </w:pPr>
      <w:r w:rsidRPr="00AB6090">
        <w:t xml:space="preserve">Effectuer un contrôle de routine avant chaque utilisation (adaptation du site, mise en place des ancrages, état du matériel : tissu, coutures, soufflerie, câbles et fiches électriques, etc., pression d’air suffisante, raccordement correct de l’installation électrique, raccordement correct de la soufflerie et de la buse de connexion, soufflerie placée correctement et bien protégée). </w:t>
      </w:r>
    </w:p>
    <w:p w14:paraId="606477E9" w14:textId="77777777" w:rsidR="00876AD3" w:rsidRPr="00AB6090" w:rsidRDefault="00876AD3" w:rsidP="0063032F">
      <w:pPr>
        <w:jc w:val="both"/>
        <w:rPr>
          <w:b/>
          <w:u w:val="single"/>
        </w:rPr>
      </w:pPr>
      <w:r w:rsidRPr="00AB6090">
        <w:rPr>
          <w:b/>
          <w:u w:val="single"/>
        </w:rPr>
        <w:t xml:space="preserve">Législation et références </w:t>
      </w:r>
    </w:p>
    <w:p w14:paraId="0958FFF0" w14:textId="77777777" w:rsidR="00876AD3" w:rsidRPr="00AB6090" w:rsidRDefault="00876AD3" w:rsidP="0063032F">
      <w:pPr>
        <w:pStyle w:val="Paragraphedeliste"/>
        <w:numPr>
          <w:ilvl w:val="0"/>
          <w:numId w:val="41"/>
        </w:numPr>
        <w:jc w:val="both"/>
      </w:pPr>
      <w:r w:rsidRPr="00AB6090">
        <w:t xml:space="preserve">Arrêté Royal du 28.03.2001 relatif à l’exploitation des aires de jeu. </w:t>
      </w:r>
    </w:p>
    <w:p w14:paraId="365F48F2" w14:textId="77777777" w:rsidR="00876AD3" w:rsidRPr="00AB6090" w:rsidRDefault="00876AD3" w:rsidP="0063032F">
      <w:pPr>
        <w:pStyle w:val="Paragraphedeliste"/>
        <w:numPr>
          <w:ilvl w:val="0"/>
          <w:numId w:val="41"/>
        </w:numPr>
        <w:jc w:val="both"/>
      </w:pPr>
      <w:r w:rsidRPr="00AB6090">
        <w:t>Norme EN 14960 : Equipements de jeu gonflables</w:t>
      </w:r>
    </w:p>
    <w:p w14:paraId="007E2C95" w14:textId="77777777" w:rsidR="00876FBA" w:rsidRPr="00AB6090" w:rsidRDefault="00876FBA" w:rsidP="0063032F">
      <w:pPr>
        <w:pStyle w:val="Paragraphedeliste"/>
        <w:jc w:val="both"/>
      </w:pPr>
    </w:p>
    <w:p w14:paraId="0380FA3E" w14:textId="7BD28608" w:rsidR="00876AD3" w:rsidRPr="00AB6090" w:rsidRDefault="00876AD3" w:rsidP="0063032F">
      <w:pPr>
        <w:pStyle w:val="Style2"/>
        <w:jc w:val="both"/>
        <w:outlineLvl w:val="1"/>
      </w:pPr>
      <w:bookmarkStart w:id="174" w:name="_Toc55899707"/>
      <w:bookmarkStart w:id="175" w:name="_Toc55900451"/>
      <w:bookmarkStart w:id="176" w:name="_Toc56426942"/>
      <w:r w:rsidRPr="00CE292C">
        <w:t>Divertissements</w:t>
      </w:r>
      <w:r w:rsidRPr="00AB6090">
        <w:t xml:space="preserve"> actifs</w:t>
      </w:r>
      <w:bookmarkEnd w:id="174"/>
      <w:bookmarkEnd w:id="175"/>
      <w:bookmarkEnd w:id="176"/>
    </w:p>
    <w:p w14:paraId="060CD327" w14:textId="77777777" w:rsidR="00876AD3" w:rsidRPr="00AB6090" w:rsidRDefault="00876AD3" w:rsidP="0063032F">
      <w:pPr>
        <w:jc w:val="both"/>
      </w:pPr>
      <w:r w:rsidRPr="00AB6090">
        <w:t xml:space="preserve">Un </w:t>
      </w:r>
      <w:r w:rsidRPr="00AB6090">
        <w:rPr>
          <w:b/>
        </w:rPr>
        <w:t>divertissement actif</w:t>
      </w:r>
      <w:r w:rsidRPr="00AB6090">
        <w:t xml:space="preserve"> est une activité proposée au public : </w:t>
      </w:r>
    </w:p>
    <w:p w14:paraId="350D27BD" w14:textId="77777777" w:rsidR="00876AD3" w:rsidRPr="00AB6090" w:rsidRDefault="00876AD3" w:rsidP="0063032F">
      <w:pPr>
        <w:pStyle w:val="Paragraphedeliste"/>
        <w:numPr>
          <w:ilvl w:val="0"/>
          <w:numId w:val="42"/>
        </w:numPr>
        <w:jc w:val="both"/>
      </w:pPr>
      <w:r w:rsidRPr="00AB6090">
        <w:t xml:space="preserve">À des fins d’amusement ou de délassement ; </w:t>
      </w:r>
    </w:p>
    <w:p w14:paraId="54BA4A70" w14:textId="77777777" w:rsidR="00876AD3" w:rsidRPr="00AB6090" w:rsidRDefault="00876AD3" w:rsidP="0063032F">
      <w:pPr>
        <w:pStyle w:val="Paragraphedeliste"/>
        <w:numPr>
          <w:ilvl w:val="0"/>
          <w:numId w:val="42"/>
        </w:numPr>
        <w:jc w:val="both"/>
      </w:pPr>
      <w:r w:rsidRPr="00AB6090">
        <w:t xml:space="preserve">Où le participant doit participer activement ; </w:t>
      </w:r>
    </w:p>
    <w:p w14:paraId="09C68BB9" w14:textId="77777777" w:rsidR="00876AD3" w:rsidRPr="00AB6090" w:rsidRDefault="00876AD3" w:rsidP="0063032F">
      <w:pPr>
        <w:pStyle w:val="Paragraphedeliste"/>
        <w:numPr>
          <w:ilvl w:val="0"/>
          <w:numId w:val="42"/>
        </w:numPr>
        <w:jc w:val="both"/>
      </w:pPr>
      <w:r w:rsidRPr="00AB6090">
        <w:lastRenderedPageBreak/>
        <w:t xml:space="preserve">Où le participant doit fournir des efforts physiques ; </w:t>
      </w:r>
      <w:r w:rsidRPr="00AB6090">
        <w:t xml:space="preserve"> Où le participant doit appliquer une certaine connaissance, habilité ou technique nécessaire pour pouvoir exercer l’activité en toute sécurité. </w:t>
      </w:r>
    </w:p>
    <w:p w14:paraId="70AAFB5F" w14:textId="475B88F2" w:rsidR="00876AD3" w:rsidRPr="00AB6090" w:rsidRDefault="00876AD3" w:rsidP="0063032F">
      <w:pPr>
        <w:ind w:left="360"/>
        <w:jc w:val="both"/>
      </w:pPr>
      <w:r w:rsidRPr="00AB6090">
        <w:t>Ce so</w:t>
      </w:r>
      <w:r w:rsidR="00346E3E">
        <w:t>nt des activités comme le c</w:t>
      </w:r>
      <w:r w:rsidR="00346E3E" w:rsidRPr="00346E3E">
        <w:t xml:space="preserve">har à voile ; roller/skating ; circuit spéléo ; course de caisse à savon ; course d’obstacles ; escalade murale </w:t>
      </w:r>
      <w:proofErr w:type="spellStart"/>
      <w:r w:rsidR="00346E3E" w:rsidRPr="00346E3E">
        <w:t>bumper</w:t>
      </w:r>
      <w:proofErr w:type="spellEnd"/>
      <w:r w:rsidR="00346E3E" w:rsidRPr="00346E3E">
        <w:t xml:space="preserve"> </w:t>
      </w:r>
      <w:proofErr w:type="spellStart"/>
      <w:r w:rsidR="00346E3E" w:rsidRPr="00346E3E">
        <w:t>ball</w:t>
      </w:r>
      <w:proofErr w:type="spellEnd"/>
      <w:r w:rsidR="00346E3E" w:rsidRPr="00346E3E">
        <w:t xml:space="preserve"> ; </w:t>
      </w:r>
      <w:proofErr w:type="spellStart"/>
      <w:r w:rsidR="00346E3E" w:rsidRPr="00346E3E">
        <w:t>walking</w:t>
      </w:r>
      <w:proofErr w:type="spellEnd"/>
      <w:r w:rsidR="00346E3E" w:rsidRPr="00346E3E">
        <w:t xml:space="preserve"> </w:t>
      </w:r>
      <w:proofErr w:type="spellStart"/>
      <w:r w:rsidR="00346E3E" w:rsidRPr="00346E3E">
        <w:t>ball</w:t>
      </w:r>
      <w:proofErr w:type="spellEnd"/>
      <w:r w:rsidR="00346E3E" w:rsidRPr="00346E3E">
        <w:t xml:space="preserve"> ; </w:t>
      </w:r>
      <w:proofErr w:type="spellStart"/>
      <w:r w:rsidR="00346E3E" w:rsidRPr="00346E3E">
        <w:t>gigaball</w:t>
      </w:r>
      <w:proofErr w:type="spellEnd"/>
      <w:r w:rsidR="00346E3E" w:rsidRPr="00346E3E">
        <w:t xml:space="preserve"> aquatique ; jet-ski ; karting ; kayak ; paintball ; parcours de cross avec des motos ou des quads ; parcours en Gyropode (</w:t>
      </w:r>
      <w:proofErr w:type="spellStart"/>
      <w:r w:rsidR="00346E3E" w:rsidRPr="00346E3E">
        <w:t>Segway</w:t>
      </w:r>
      <w:proofErr w:type="spellEnd"/>
      <w:r w:rsidR="00346E3E" w:rsidRPr="00346E3E">
        <w:t xml:space="preserve">) ; parcours en hauteur (parcours de cordes) ; parcours en mini-scooter ; parcours en VTT ; patinage sur glace ; pédalos ; planeur ; plongée sous-marine ; quad ; ski nautique ; ski sur pistes ; airsoft ; téléski nautique ; </w:t>
      </w:r>
      <w:proofErr w:type="spellStart"/>
      <w:r w:rsidR="00346E3E" w:rsidRPr="00346E3E">
        <w:t>la</w:t>
      </w:r>
      <w:r w:rsidR="00346E3E" w:rsidRPr="00346E3E">
        <w:rPr>
          <w:szCs w:val="18"/>
        </w:rPr>
        <w:t>sergame</w:t>
      </w:r>
      <w:proofErr w:type="spellEnd"/>
      <w:r w:rsidR="00346E3E" w:rsidRPr="00346E3E">
        <w:rPr>
          <w:szCs w:val="18"/>
        </w:rPr>
        <w:t xml:space="preserve">. </w:t>
      </w:r>
      <w:r w:rsidR="00346E3E" w:rsidRPr="00346E3E">
        <w:rPr>
          <w:b/>
          <w:szCs w:val="18"/>
        </w:rPr>
        <w:t>(A.R. du 25/04/2004)</w:t>
      </w:r>
    </w:p>
    <w:p w14:paraId="6A7A5DB3" w14:textId="77777777" w:rsidR="00876AD3" w:rsidRPr="00AB6090" w:rsidRDefault="00876AD3" w:rsidP="0063032F">
      <w:pPr>
        <w:jc w:val="both"/>
      </w:pPr>
      <w:r w:rsidRPr="00AB6090">
        <w:t xml:space="preserve">On distingue 2 « personnes » : </w:t>
      </w:r>
    </w:p>
    <w:p w14:paraId="73699555" w14:textId="77777777" w:rsidR="00876AD3" w:rsidRPr="00AB6090" w:rsidRDefault="00876AD3" w:rsidP="0063032F">
      <w:pPr>
        <w:pStyle w:val="Paragraphedeliste"/>
        <w:numPr>
          <w:ilvl w:val="0"/>
          <w:numId w:val="43"/>
        </w:numPr>
        <w:jc w:val="both"/>
      </w:pPr>
      <w:r w:rsidRPr="00AB6090">
        <w:t xml:space="preserve">L’organisateur « général » de la festivité ; </w:t>
      </w:r>
    </w:p>
    <w:p w14:paraId="3492E101" w14:textId="77777777" w:rsidR="00876AD3" w:rsidRPr="00AB6090" w:rsidRDefault="00876AD3" w:rsidP="0063032F">
      <w:pPr>
        <w:pStyle w:val="Paragraphedeliste"/>
        <w:numPr>
          <w:ilvl w:val="0"/>
          <w:numId w:val="43"/>
        </w:numPr>
        <w:jc w:val="both"/>
      </w:pPr>
      <w:r w:rsidRPr="00AB6090">
        <w:t xml:space="preserve">Le prestataire qui sera souvent engagé par l’organisateur général de la festivité pour réaliser ce divertissement spécifique. C’est ce prestataire qui a la compétence technique nécessaire au déroulement en sécurité de l’activité.  </w:t>
      </w:r>
    </w:p>
    <w:p w14:paraId="01CEB869" w14:textId="77777777" w:rsidR="00876AD3" w:rsidRPr="00AB6090" w:rsidRDefault="00876AD3" w:rsidP="0063032F">
      <w:pPr>
        <w:jc w:val="both"/>
        <w:rPr>
          <w:b/>
        </w:rPr>
      </w:pPr>
      <w:r w:rsidRPr="00AB6090">
        <w:rPr>
          <w:b/>
        </w:rPr>
        <w:t xml:space="preserve">Le prestataire : </w:t>
      </w:r>
    </w:p>
    <w:p w14:paraId="72854DD6" w14:textId="77777777" w:rsidR="00876AD3" w:rsidRPr="00AB6090" w:rsidRDefault="00876AD3" w:rsidP="0063032F">
      <w:pPr>
        <w:pStyle w:val="Paragraphedeliste"/>
        <w:numPr>
          <w:ilvl w:val="0"/>
          <w:numId w:val="44"/>
        </w:numPr>
        <w:jc w:val="both"/>
      </w:pPr>
      <w:r w:rsidRPr="00AB6090">
        <w:t xml:space="preserve">Réalise une analyse de risque écrite </w:t>
      </w:r>
    </w:p>
    <w:p w14:paraId="7F0805B3" w14:textId="77777777" w:rsidR="00876AD3" w:rsidRPr="00AB6090" w:rsidRDefault="00876AD3" w:rsidP="0063032F">
      <w:pPr>
        <w:pStyle w:val="Paragraphedeliste"/>
        <w:numPr>
          <w:ilvl w:val="0"/>
          <w:numId w:val="44"/>
        </w:numPr>
        <w:jc w:val="both"/>
      </w:pPr>
      <w:r w:rsidRPr="00AB6090">
        <w:t xml:space="preserve">Décide de mesures préventives et les applique </w:t>
      </w:r>
    </w:p>
    <w:p w14:paraId="71CF97A4" w14:textId="77777777" w:rsidR="00876AD3" w:rsidRPr="00AB6090" w:rsidRDefault="00876AD3" w:rsidP="0063032F">
      <w:pPr>
        <w:pStyle w:val="Paragraphedeliste"/>
        <w:numPr>
          <w:ilvl w:val="0"/>
          <w:numId w:val="44"/>
        </w:numPr>
        <w:jc w:val="both"/>
      </w:pPr>
      <w:r w:rsidRPr="00AB6090">
        <w:t xml:space="preserve">Dispose d’une liste des produits ayant un impact sur la sécurité </w:t>
      </w:r>
    </w:p>
    <w:p w14:paraId="43F952E8" w14:textId="77777777" w:rsidR="00876AD3" w:rsidRPr="00AB6090" w:rsidRDefault="00876AD3" w:rsidP="0063032F">
      <w:pPr>
        <w:pStyle w:val="Paragraphedeliste"/>
        <w:numPr>
          <w:ilvl w:val="0"/>
          <w:numId w:val="44"/>
        </w:numPr>
        <w:jc w:val="both"/>
      </w:pPr>
      <w:r w:rsidRPr="00AB6090">
        <w:t xml:space="preserve">Dispose d’un schéma du divertissement actif </w:t>
      </w:r>
    </w:p>
    <w:p w14:paraId="4EEE7083" w14:textId="77777777" w:rsidR="00876AD3" w:rsidRPr="00AB6090" w:rsidRDefault="00876AD3" w:rsidP="0063032F">
      <w:pPr>
        <w:pStyle w:val="Paragraphedeliste"/>
        <w:numPr>
          <w:ilvl w:val="0"/>
          <w:numId w:val="44"/>
        </w:numPr>
        <w:jc w:val="both"/>
      </w:pPr>
      <w:r w:rsidRPr="00AB6090">
        <w:t>Désigne un responsable final chargé de veiller à la sécurité et présent durant toute l’activité</w:t>
      </w:r>
    </w:p>
    <w:p w14:paraId="2C5F3073" w14:textId="77777777" w:rsidR="00876AD3" w:rsidRPr="00AB6090" w:rsidRDefault="00876AD3" w:rsidP="0063032F">
      <w:pPr>
        <w:pStyle w:val="Paragraphedeliste"/>
        <w:numPr>
          <w:ilvl w:val="0"/>
          <w:numId w:val="44"/>
        </w:numPr>
        <w:jc w:val="both"/>
      </w:pPr>
      <w:r w:rsidRPr="00AB6090">
        <w:t xml:space="preserve">Rend les documents précités disponibles sur site </w:t>
      </w:r>
    </w:p>
    <w:p w14:paraId="5AD283F7" w14:textId="77777777" w:rsidR="00876AD3" w:rsidRPr="00AB6090" w:rsidRDefault="00876AD3" w:rsidP="0063032F">
      <w:pPr>
        <w:jc w:val="both"/>
      </w:pPr>
      <w:r w:rsidRPr="00AB6090">
        <w:t xml:space="preserve"> </w:t>
      </w:r>
      <w:r w:rsidRPr="00AB6090">
        <w:rPr>
          <w:b/>
        </w:rPr>
        <w:t>L’organisateur général de la festivité</w:t>
      </w:r>
      <w:r w:rsidRPr="00AB6090">
        <w:t xml:space="preserve"> doit se coordonner avec le prestataire pour intégrer l’activité dans la festivité sans créer de risque complémentaire (ex : accès, interaction avec d’autres activités, etc.).  </w:t>
      </w:r>
    </w:p>
    <w:p w14:paraId="591D92EA" w14:textId="77777777" w:rsidR="00876AD3" w:rsidRPr="00AB6090" w:rsidRDefault="00876AD3" w:rsidP="0063032F">
      <w:pPr>
        <w:jc w:val="both"/>
      </w:pPr>
      <w:r w:rsidRPr="00AB6090">
        <w:t xml:space="preserve">Il doit également s’assurer que les prescriptions légales sont rencontrées, et doit donc vérifier la présence des documents requis par la législation, qui doivent être disponibles sur le lieu de l’activité. La présence de ces documents conditionne l’ouverture de l’activité. </w:t>
      </w:r>
    </w:p>
    <w:p w14:paraId="5E9A0255" w14:textId="77777777" w:rsidR="00876AD3" w:rsidRPr="00AB6090" w:rsidRDefault="00876AD3" w:rsidP="0063032F">
      <w:pPr>
        <w:jc w:val="both"/>
      </w:pPr>
      <w:r w:rsidRPr="00AB6090">
        <w:t xml:space="preserve"> </w:t>
      </w:r>
    </w:p>
    <w:p w14:paraId="55586339" w14:textId="77777777" w:rsidR="00876AD3" w:rsidRPr="00AB6090" w:rsidRDefault="00876AD3" w:rsidP="0063032F">
      <w:pPr>
        <w:jc w:val="both"/>
      </w:pPr>
      <w:r w:rsidRPr="00AB6090">
        <w:t xml:space="preserve">Il est par contre clair que la compétence technique relative à la sécurité de l’activité est entre les mains du prestataire, et pas de l’organisateur général de la festivité, qui ne pourra pas juger de la qualité des documents qui lui sont présentés. </w:t>
      </w:r>
    </w:p>
    <w:p w14:paraId="3AE37493" w14:textId="77777777" w:rsidR="00876AD3" w:rsidRPr="00AB6090" w:rsidRDefault="00876AD3" w:rsidP="0063032F">
      <w:pPr>
        <w:jc w:val="both"/>
      </w:pPr>
      <w:r w:rsidRPr="00AB6090">
        <w:t xml:space="preserve"> Il est vivement conseillé d’établir une convention entre l’organisateur général de la festivité et le prestataire, convention qui comprendra au minimum :  </w:t>
      </w:r>
    </w:p>
    <w:p w14:paraId="42FBF056" w14:textId="77777777" w:rsidR="00876AD3" w:rsidRPr="00AB6090" w:rsidRDefault="00876AD3" w:rsidP="0063032F">
      <w:pPr>
        <w:pStyle w:val="Paragraphedeliste"/>
        <w:numPr>
          <w:ilvl w:val="0"/>
          <w:numId w:val="45"/>
        </w:numPr>
        <w:jc w:val="both"/>
      </w:pPr>
      <w:r w:rsidRPr="00AB6090">
        <w:t xml:space="preserve">L’activité projetée, le lieu et la date ;  </w:t>
      </w:r>
    </w:p>
    <w:p w14:paraId="563FF147" w14:textId="77777777" w:rsidR="00876AD3" w:rsidRPr="00AB6090" w:rsidRDefault="00876AD3" w:rsidP="0063032F">
      <w:pPr>
        <w:pStyle w:val="Paragraphedeliste"/>
        <w:numPr>
          <w:ilvl w:val="0"/>
          <w:numId w:val="45"/>
        </w:numPr>
        <w:jc w:val="both"/>
      </w:pPr>
      <w:r w:rsidRPr="00AB6090">
        <w:t xml:space="preserve">Les noms et adresses des parties ainsi que le nom du responsable final désigné ;  </w:t>
      </w:r>
    </w:p>
    <w:p w14:paraId="6E18090E" w14:textId="77777777" w:rsidR="00876AD3" w:rsidRPr="00AB6090" w:rsidRDefault="00876AD3" w:rsidP="0063032F">
      <w:pPr>
        <w:pStyle w:val="Paragraphedeliste"/>
        <w:numPr>
          <w:ilvl w:val="0"/>
          <w:numId w:val="45"/>
        </w:numPr>
        <w:jc w:val="both"/>
      </w:pPr>
      <w:r w:rsidRPr="00AB6090">
        <w:t xml:space="preserve">La référence aux prescrits légaux ; </w:t>
      </w:r>
    </w:p>
    <w:p w14:paraId="2B205D3E" w14:textId="77777777" w:rsidR="00876AD3" w:rsidRPr="00AB6090" w:rsidRDefault="00876AD3" w:rsidP="0063032F">
      <w:pPr>
        <w:pStyle w:val="Paragraphedeliste"/>
        <w:numPr>
          <w:ilvl w:val="0"/>
          <w:numId w:val="45"/>
        </w:numPr>
        <w:jc w:val="both"/>
      </w:pPr>
      <w:r w:rsidRPr="00AB6090">
        <w:t xml:space="preserve">Conditionnant l’ouverture de l’activité à la présence sur site des documents légaux requis. </w:t>
      </w:r>
    </w:p>
    <w:p w14:paraId="13A5D071" w14:textId="77777777" w:rsidR="00876AD3" w:rsidRDefault="00876AD3" w:rsidP="0063032F">
      <w:pPr>
        <w:jc w:val="both"/>
      </w:pPr>
      <w:r w:rsidRPr="00AB6090">
        <w:t xml:space="preserve"> </w:t>
      </w:r>
      <w:r w:rsidRPr="00AB6090">
        <w:rPr>
          <w:b/>
        </w:rPr>
        <w:t>Législation et références :</w:t>
      </w:r>
      <w:r w:rsidRPr="00AB6090">
        <w:t xml:space="preserve"> Arrêté Royal du 25.04.2004 sur l’organisation des divertissements actifs</w:t>
      </w:r>
    </w:p>
    <w:p w14:paraId="057AD617" w14:textId="77777777" w:rsidR="002126C4" w:rsidRPr="00AB6090" w:rsidRDefault="002126C4" w:rsidP="0063032F">
      <w:pPr>
        <w:jc w:val="both"/>
      </w:pPr>
    </w:p>
    <w:p w14:paraId="6690EA18" w14:textId="77777777" w:rsidR="00876AD3" w:rsidRPr="00AB6090" w:rsidRDefault="00876AD3" w:rsidP="0063032F">
      <w:pPr>
        <w:pStyle w:val="Style2"/>
        <w:jc w:val="both"/>
        <w:outlineLvl w:val="1"/>
      </w:pPr>
      <w:bookmarkStart w:id="177" w:name="_Toc55899708"/>
      <w:bookmarkStart w:id="178" w:name="_Toc55900452"/>
      <w:bookmarkStart w:id="179" w:name="_Toc56426943"/>
      <w:r w:rsidRPr="00AB6090">
        <w:t xml:space="preserve">Divertissements </w:t>
      </w:r>
      <w:r w:rsidRPr="00CE292C">
        <w:t>extrêmes</w:t>
      </w:r>
      <w:bookmarkEnd w:id="177"/>
      <w:bookmarkEnd w:id="178"/>
      <w:bookmarkEnd w:id="179"/>
    </w:p>
    <w:p w14:paraId="60719826" w14:textId="77777777" w:rsidR="00876AD3" w:rsidRPr="00AB6090" w:rsidRDefault="00876AD3" w:rsidP="0063032F">
      <w:pPr>
        <w:jc w:val="both"/>
      </w:pPr>
      <w:r w:rsidRPr="00AB6090">
        <w:rPr>
          <w:b/>
        </w:rPr>
        <w:t>Un divertissement extrême</w:t>
      </w:r>
      <w:r w:rsidRPr="00AB6090">
        <w:t xml:space="preserve"> est une activité proposée au public : </w:t>
      </w:r>
    </w:p>
    <w:p w14:paraId="00E6C632" w14:textId="77777777" w:rsidR="00876AD3" w:rsidRPr="00AB6090" w:rsidRDefault="00876AD3" w:rsidP="0063032F">
      <w:pPr>
        <w:pStyle w:val="Paragraphedeliste"/>
        <w:numPr>
          <w:ilvl w:val="0"/>
          <w:numId w:val="46"/>
        </w:numPr>
        <w:jc w:val="both"/>
      </w:pPr>
      <w:r w:rsidRPr="00AB6090">
        <w:t xml:space="preserve">À des fins d’amusement ou de délassement ; </w:t>
      </w:r>
    </w:p>
    <w:p w14:paraId="304E1E38" w14:textId="77777777" w:rsidR="00876AD3" w:rsidRPr="00AB6090" w:rsidRDefault="00876AD3" w:rsidP="0063032F">
      <w:pPr>
        <w:pStyle w:val="Paragraphedeliste"/>
        <w:numPr>
          <w:ilvl w:val="0"/>
          <w:numId w:val="46"/>
        </w:numPr>
        <w:jc w:val="both"/>
      </w:pPr>
      <w:r w:rsidRPr="00AB6090">
        <w:t xml:space="preserve">Mise à disposition du public au moyen d’une installation prévue à cet effet ; </w:t>
      </w:r>
    </w:p>
    <w:p w14:paraId="3FEA0AB5" w14:textId="77777777" w:rsidR="00876AD3" w:rsidRPr="00AB6090" w:rsidRDefault="00876AD3" w:rsidP="0063032F">
      <w:pPr>
        <w:pStyle w:val="Paragraphedeliste"/>
        <w:numPr>
          <w:ilvl w:val="0"/>
          <w:numId w:val="46"/>
        </w:numPr>
        <w:jc w:val="both"/>
      </w:pPr>
      <w:r w:rsidRPr="00AB6090">
        <w:t xml:space="preserve">Où l’impression de danger, de risque ou de défi incite le consommateur à participer. </w:t>
      </w:r>
    </w:p>
    <w:p w14:paraId="10A9A839" w14:textId="77777777" w:rsidR="00876AD3" w:rsidRPr="00AB6090" w:rsidRDefault="00876AD3" w:rsidP="0063032F">
      <w:pPr>
        <w:jc w:val="both"/>
      </w:pPr>
      <w:r w:rsidRPr="00AB6090">
        <w:t xml:space="preserve">Ce sont des activités comme le saut à l’élastique, le saut en parachute, le </w:t>
      </w:r>
      <w:proofErr w:type="spellStart"/>
      <w:r w:rsidRPr="00AB6090">
        <w:t>death</w:t>
      </w:r>
      <w:proofErr w:type="spellEnd"/>
      <w:r w:rsidRPr="00AB6090">
        <w:t xml:space="preserve"> ride, … </w:t>
      </w:r>
    </w:p>
    <w:p w14:paraId="57A74210" w14:textId="77777777" w:rsidR="00876AD3" w:rsidRPr="00AB6090" w:rsidRDefault="00876AD3" w:rsidP="0063032F">
      <w:pPr>
        <w:jc w:val="both"/>
      </w:pPr>
    </w:p>
    <w:p w14:paraId="469E31DC" w14:textId="77777777" w:rsidR="00876AD3" w:rsidRPr="00AB6090" w:rsidRDefault="00876AD3" w:rsidP="0063032F">
      <w:pPr>
        <w:jc w:val="both"/>
      </w:pPr>
      <w:r w:rsidRPr="00AB6090">
        <w:t xml:space="preserve"> On distingue 2 « personnes » : </w:t>
      </w:r>
    </w:p>
    <w:p w14:paraId="3DEB9ACA" w14:textId="77777777" w:rsidR="00876AD3" w:rsidRPr="00AB6090" w:rsidRDefault="00876AD3" w:rsidP="0063032F">
      <w:pPr>
        <w:pStyle w:val="Paragraphedeliste"/>
        <w:numPr>
          <w:ilvl w:val="0"/>
          <w:numId w:val="47"/>
        </w:numPr>
        <w:jc w:val="both"/>
      </w:pPr>
      <w:r w:rsidRPr="00AB6090">
        <w:t xml:space="preserve">L’organisateur « général » de la festivité ; </w:t>
      </w:r>
    </w:p>
    <w:p w14:paraId="129E175E" w14:textId="77777777" w:rsidR="00876AD3" w:rsidRPr="00AB6090" w:rsidRDefault="00876AD3" w:rsidP="0063032F">
      <w:pPr>
        <w:pStyle w:val="Paragraphedeliste"/>
        <w:numPr>
          <w:ilvl w:val="0"/>
          <w:numId w:val="47"/>
        </w:numPr>
        <w:jc w:val="both"/>
      </w:pPr>
      <w:r w:rsidRPr="00AB6090">
        <w:t xml:space="preserve">Le prestataire qui sera souvent engagé par l’organisateur général de la festivité pour réaliser ce divertissement spécifique. C’est ce prestataire qui a la compétence technique nécessaire au déroulement en sécurité de l’activité. </w:t>
      </w:r>
    </w:p>
    <w:p w14:paraId="55F33EC6" w14:textId="77777777" w:rsidR="00876AD3" w:rsidRPr="00AB6090" w:rsidRDefault="00876AD3" w:rsidP="0063032F">
      <w:pPr>
        <w:jc w:val="both"/>
        <w:rPr>
          <w:b/>
        </w:rPr>
      </w:pPr>
      <w:r w:rsidRPr="00AB6090">
        <w:t xml:space="preserve"> </w:t>
      </w:r>
      <w:r w:rsidRPr="00AB6090">
        <w:rPr>
          <w:b/>
        </w:rPr>
        <w:t xml:space="preserve">Le prestataire : </w:t>
      </w:r>
    </w:p>
    <w:p w14:paraId="6FBC12A9" w14:textId="77777777" w:rsidR="00876AD3" w:rsidRPr="00AB6090" w:rsidRDefault="00876AD3" w:rsidP="0063032F">
      <w:pPr>
        <w:pStyle w:val="Paragraphedeliste"/>
        <w:numPr>
          <w:ilvl w:val="0"/>
          <w:numId w:val="48"/>
        </w:numPr>
        <w:jc w:val="both"/>
      </w:pPr>
      <w:r w:rsidRPr="00AB6090">
        <w:t xml:space="preserve">Réalise une analyse de risque écrite ;  </w:t>
      </w:r>
    </w:p>
    <w:p w14:paraId="1D24CA58" w14:textId="77777777" w:rsidR="00876AD3" w:rsidRPr="00AB6090" w:rsidRDefault="00876AD3" w:rsidP="0063032F">
      <w:pPr>
        <w:pStyle w:val="Paragraphedeliste"/>
        <w:numPr>
          <w:ilvl w:val="0"/>
          <w:numId w:val="48"/>
        </w:numPr>
        <w:jc w:val="both"/>
      </w:pPr>
      <w:r w:rsidRPr="00AB6090">
        <w:t xml:space="preserve">Décide de mesures préventives et les applique ; </w:t>
      </w:r>
    </w:p>
    <w:p w14:paraId="277349A4" w14:textId="77777777" w:rsidR="00876AD3" w:rsidRPr="00AB6090" w:rsidRDefault="00876AD3" w:rsidP="0063032F">
      <w:pPr>
        <w:pStyle w:val="Paragraphedeliste"/>
        <w:numPr>
          <w:ilvl w:val="0"/>
          <w:numId w:val="48"/>
        </w:numPr>
        <w:jc w:val="both"/>
      </w:pPr>
      <w:r w:rsidRPr="00AB6090">
        <w:lastRenderedPageBreak/>
        <w:t xml:space="preserve">Dispose d’une liste des produits ayant un impact sur la sécurité ; </w:t>
      </w:r>
    </w:p>
    <w:p w14:paraId="0CDCF0D9" w14:textId="77777777" w:rsidR="00876AD3" w:rsidRPr="00AB6090" w:rsidRDefault="00876AD3" w:rsidP="0063032F">
      <w:pPr>
        <w:pStyle w:val="Paragraphedeliste"/>
        <w:numPr>
          <w:ilvl w:val="0"/>
          <w:numId w:val="48"/>
        </w:numPr>
        <w:jc w:val="both"/>
      </w:pPr>
      <w:r w:rsidRPr="00AB6090">
        <w:t xml:space="preserve">Dispose d’un schéma du divertissement extrême ; </w:t>
      </w:r>
    </w:p>
    <w:p w14:paraId="13106743" w14:textId="77777777" w:rsidR="00876AD3" w:rsidRPr="00AB6090" w:rsidRDefault="00876AD3" w:rsidP="0063032F">
      <w:pPr>
        <w:pStyle w:val="Paragraphedeliste"/>
        <w:numPr>
          <w:ilvl w:val="0"/>
          <w:numId w:val="48"/>
        </w:numPr>
        <w:jc w:val="both"/>
      </w:pPr>
      <w:r w:rsidRPr="00AB6090">
        <w:t xml:space="preserve">Désigne un coordinateur de sécurité présent durant toute l’activité ; </w:t>
      </w:r>
    </w:p>
    <w:p w14:paraId="7756322E" w14:textId="77777777" w:rsidR="00876AD3" w:rsidRPr="00AB6090" w:rsidRDefault="00876AD3" w:rsidP="0063032F">
      <w:pPr>
        <w:pStyle w:val="Paragraphedeliste"/>
        <w:numPr>
          <w:ilvl w:val="0"/>
          <w:numId w:val="48"/>
        </w:numPr>
        <w:jc w:val="both"/>
      </w:pPr>
      <w:r w:rsidRPr="00AB6090">
        <w:t xml:space="preserve">Rend les documents précités disponibles sur site. </w:t>
      </w:r>
    </w:p>
    <w:p w14:paraId="40CFFB6F" w14:textId="77777777" w:rsidR="00876AD3" w:rsidRPr="00AB6090" w:rsidRDefault="00876AD3" w:rsidP="0063032F">
      <w:pPr>
        <w:jc w:val="both"/>
      </w:pPr>
      <w:r w:rsidRPr="00AB6090">
        <w:t xml:space="preserve"> </w:t>
      </w:r>
    </w:p>
    <w:p w14:paraId="05ED9A62" w14:textId="77777777" w:rsidR="00876AD3" w:rsidRPr="00AB6090" w:rsidRDefault="00876AD3" w:rsidP="0063032F">
      <w:pPr>
        <w:jc w:val="both"/>
      </w:pPr>
      <w:r w:rsidRPr="00AB6090">
        <w:rPr>
          <w:b/>
        </w:rPr>
        <w:t>L’organisateur général de la festivité</w:t>
      </w:r>
      <w:r w:rsidRPr="00AB6090">
        <w:t xml:space="preserve"> doit se coordonner avec le prestataire pour intégrer l’activité dans la festivité sans créer de risque complémentaire (ex : accès, interaction avec d’autres activités, etc.). Il doit également s’assurer que les prescriptions légales sont rencontrées, et doit donc vérifier la présence des documents requis par la législation, qui doivent être disponibles sur le lieu de l’activité. La présence de ces documents conditionne l’ouverture de l’activité. </w:t>
      </w:r>
    </w:p>
    <w:p w14:paraId="074858E7" w14:textId="77777777" w:rsidR="00876AD3" w:rsidRPr="00AB6090" w:rsidRDefault="00876AD3" w:rsidP="0063032F">
      <w:pPr>
        <w:jc w:val="both"/>
      </w:pPr>
      <w:r w:rsidRPr="00AB6090">
        <w:t xml:space="preserve"> </w:t>
      </w:r>
    </w:p>
    <w:p w14:paraId="7D874B57" w14:textId="77777777" w:rsidR="00876AD3" w:rsidRPr="00AB6090" w:rsidRDefault="00876AD3" w:rsidP="0063032F">
      <w:pPr>
        <w:jc w:val="both"/>
      </w:pPr>
      <w:r w:rsidRPr="00AB6090">
        <w:t xml:space="preserve">Il est par contre clair que la compétence technique relative à la sécurité de l’activité est entre les mains du prestataire, et pas de l’organisateur général de la festivité, qui ne pourra pas juger de la qualité des documents qui lui sont présentés. </w:t>
      </w:r>
    </w:p>
    <w:p w14:paraId="4A623600" w14:textId="77777777" w:rsidR="00876AD3" w:rsidRPr="00AB6090" w:rsidRDefault="00876AD3" w:rsidP="0063032F">
      <w:pPr>
        <w:jc w:val="both"/>
      </w:pPr>
      <w:r w:rsidRPr="00AB6090">
        <w:t xml:space="preserve"> </w:t>
      </w:r>
    </w:p>
    <w:p w14:paraId="34BE7F55" w14:textId="77777777" w:rsidR="00876AD3" w:rsidRPr="00AB6090" w:rsidRDefault="00876AD3" w:rsidP="0063032F">
      <w:pPr>
        <w:jc w:val="both"/>
      </w:pPr>
      <w:r w:rsidRPr="00AB6090">
        <w:t xml:space="preserve">Il est vivement conseillé d’établir une convention entre l’organisateur général de la festivité et le prestataire, convention qui comprendra au minimum :  </w:t>
      </w:r>
    </w:p>
    <w:p w14:paraId="0B27B7D9" w14:textId="77777777" w:rsidR="00876AD3" w:rsidRPr="00AB6090" w:rsidRDefault="00876AD3" w:rsidP="0063032F">
      <w:pPr>
        <w:pStyle w:val="Paragraphedeliste"/>
        <w:numPr>
          <w:ilvl w:val="0"/>
          <w:numId w:val="49"/>
        </w:numPr>
        <w:jc w:val="both"/>
      </w:pPr>
      <w:r w:rsidRPr="00AB6090">
        <w:t xml:space="preserve">L’activité projetée, le lieu et la date ; </w:t>
      </w:r>
    </w:p>
    <w:p w14:paraId="0DC4BCC1" w14:textId="77777777" w:rsidR="00876AD3" w:rsidRPr="00AB6090" w:rsidRDefault="00876AD3" w:rsidP="0063032F">
      <w:pPr>
        <w:pStyle w:val="Paragraphedeliste"/>
        <w:numPr>
          <w:ilvl w:val="0"/>
          <w:numId w:val="49"/>
        </w:numPr>
        <w:jc w:val="both"/>
      </w:pPr>
      <w:r w:rsidRPr="00AB6090">
        <w:t xml:space="preserve">Les noms et adresses des parties ainsi que le nom du coordinateur de sécurité désigné ; </w:t>
      </w:r>
    </w:p>
    <w:p w14:paraId="4F89DF13" w14:textId="77777777" w:rsidR="00876AD3" w:rsidRPr="00AB6090" w:rsidRDefault="00876AD3" w:rsidP="0063032F">
      <w:pPr>
        <w:pStyle w:val="Paragraphedeliste"/>
        <w:numPr>
          <w:ilvl w:val="0"/>
          <w:numId w:val="49"/>
        </w:numPr>
        <w:jc w:val="both"/>
      </w:pPr>
      <w:r w:rsidRPr="00AB6090">
        <w:t xml:space="preserve">La référence aux prescrits légaux ; </w:t>
      </w:r>
    </w:p>
    <w:p w14:paraId="773FC71F" w14:textId="77777777" w:rsidR="00876AD3" w:rsidRPr="00AB6090" w:rsidRDefault="00876AD3" w:rsidP="0063032F">
      <w:pPr>
        <w:pStyle w:val="Paragraphedeliste"/>
        <w:numPr>
          <w:ilvl w:val="0"/>
          <w:numId w:val="49"/>
        </w:numPr>
        <w:jc w:val="both"/>
      </w:pPr>
      <w:r w:rsidRPr="00AB6090">
        <w:t xml:space="preserve">Conditionnant l’ouverture de l’activité à la présence sur site des documents légaux requis. </w:t>
      </w:r>
    </w:p>
    <w:p w14:paraId="64C6EDB1" w14:textId="77777777" w:rsidR="00876AD3" w:rsidRPr="00AB6090" w:rsidRDefault="00876AD3" w:rsidP="0063032F">
      <w:pPr>
        <w:jc w:val="both"/>
      </w:pPr>
      <w:r w:rsidRPr="00AB6090">
        <w:t xml:space="preserve"> </w:t>
      </w:r>
    </w:p>
    <w:p w14:paraId="3E997BD6" w14:textId="77777777" w:rsidR="00876AD3" w:rsidRPr="00AB6090" w:rsidRDefault="00876AD3" w:rsidP="0063032F">
      <w:pPr>
        <w:jc w:val="both"/>
      </w:pPr>
      <w:r w:rsidRPr="00AB6090">
        <w:rPr>
          <w:b/>
          <w:u w:val="single"/>
        </w:rPr>
        <w:t>Législation et références :</w:t>
      </w:r>
      <w:r w:rsidRPr="00AB6090">
        <w:t xml:space="preserve"> Arrêté Royal du 04.03.2002 sur l’organisation des divertissements extrêmes</w:t>
      </w:r>
    </w:p>
    <w:p w14:paraId="2130A719" w14:textId="77777777" w:rsidR="00876FBA" w:rsidRPr="00AB6090" w:rsidRDefault="00876FBA" w:rsidP="0063032F">
      <w:pPr>
        <w:jc w:val="both"/>
      </w:pPr>
    </w:p>
    <w:p w14:paraId="62872234" w14:textId="77777777" w:rsidR="00876AD3" w:rsidRPr="00AB6090" w:rsidRDefault="00876AD3" w:rsidP="0063032F">
      <w:pPr>
        <w:pStyle w:val="Style2"/>
        <w:jc w:val="both"/>
        <w:outlineLvl w:val="1"/>
      </w:pPr>
      <w:bookmarkStart w:id="180" w:name="_Toc55899709"/>
      <w:bookmarkStart w:id="181" w:name="_Toc55900453"/>
      <w:bookmarkStart w:id="182" w:name="_Toc56426944"/>
      <w:r w:rsidRPr="00CE292C">
        <w:t>Attractions</w:t>
      </w:r>
      <w:r w:rsidRPr="00AB6090">
        <w:t xml:space="preserve"> foraines</w:t>
      </w:r>
      <w:bookmarkEnd w:id="180"/>
      <w:bookmarkEnd w:id="181"/>
      <w:bookmarkEnd w:id="182"/>
    </w:p>
    <w:p w14:paraId="007BFA60" w14:textId="0E40F2F2" w:rsidR="00876AD3" w:rsidRPr="00AB6090" w:rsidRDefault="00876AD3" w:rsidP="0063032F">
      <w:pPr>
        <w:jc w:val="both"/>
      </w:pPr>
      <w:r w:rsidRPr="00AB6090">
        <w:t>Une attraction foraine est une installation non permanente, actionnée par une source d’énergie non humaine, pour la propulsion de personnes, et à des fins d’amusement ou de divertissement.  Exemple : grande roue, manège, auto-scoot</w:t>
      </w:r>
      <w:r w:rsidR="002126C4">
        <w:t xml:space="preserve">ers, chenille, carrousel, etc. </w:t>
      </w:r>
    </w:p>
    <w:p w14:paraId="2F40F40A" w14:textId="77777777" w:rsidR="00876AD3" w:rsidRPr="00AB6090" w:rsidRDefault="00876AD3" w:rsidP="0063032F">
      <w:pPr>
        <w:jc w:val="both"/>
      </w:pPr>
      <w:r w:rsidRPr="00AB6090">
        <w:t xml:space="preserve">Les forains doivent disposer, dans tous les cas, d’une attestation d’assurance incendie et d’assurance responsabilité civile, en cours de validité. Leur installation électrique doit être couverte par un certificat de conformité délivré par un service externe de contrôle technique et datant de moins d’un an. </w:t>
      </w:r>
    </w:p>
    <w:p w14:paraId="69DF0231" w14:textId="77777777" w:rsidR="00876AD3" w:rsidRPr="00AB6090" w:rsidRDefault="00876AD3" w:rsidP="0063032F">
      <w:pPr>
        <w:jc w:val="both"/>
      </w:pPr>
      <w:r w:rsidRPr="00AB6090">
        <w:t xml:space="preserve"> </w:t>
      </w:r>
    </w:p>
    <w:p w14:paraId="2B63FFFC" w14:textId="77777777" w:rsidR="00876AD3" w:rsidRPr="00AB6090" w:rsidRDefault="00876AD3" w:rsidP="002126C4">
      <w:pPr>
        <w:pBdr>
          <w:top w:val="single" w:sz="4" w:space="1" w:color="auto"/>
          <w:left w:val="single" w:sz="4" w:space="4" w:color="auto"/>
          <w:bottom w:val="single" w:sz="4" w:space="1" w:color="auto"/>
          <w:right w:val="single" w:sz="4" w:space="4" w:color="auto"/>
        </w:pBdr>
        <w:jc w:val="both"/>
      </w:pPr>
      <w:r w:rsidRPr="00AB6090">
        <w:rPr>
          <w:b/>
        </w:rPr>
        <w:t>Attractions de type A</w:t>
      </w:r>
      <w:r w:rsidRPr="00AB6090">
        <w:t xml:space="preserve"> (&gt; 5 m de haut et/ou vitesse &gt; 10 m/s) : </w:t>
      </w:r>
    </w:p>
    <w:p w14:paraId="3660312D" w14:textId="77777777" w:rsidR="00876AD3" w:rsidRPr="00AB6090" w:rsidRDefault="00876AD3" w:rsidP="0063032F">
      <w:pPr>
        <w:pStyle w:val="Paragraphedeliste"/>
        <w:numPr>
          <w:ilvl w:val="0"/>
          <w:numId w:val="50"/>
        </w:numPr>
        <w:jc w:val="both"/>
      </w:pPr>
      <w:r w:rsidRPr="00AB6090">
        <w:t xml:space="preserve">Une analyse de risque réalisée par un organisme accrédité ; </w:t>
      </w:r>
    </w:p>
    <w:p w14:paraId="234B61E4" w14:textId="77777777" w:rsidR="00876AD3" w:rsidRPr="00AB6090" w:rsidRDefault="00876AD3" w:rsidP="0063032F">
      <w:pPr>
        <w:pStyle w:val="Paragraphedeliste"/>
        <w:numPr>
          <w:ilvl w:val="0"/>
          <w:numId w:val="50"/>
        </w:numPr>
        <w:jc w:val="both"/>
      </w:pPr>
      <w:r w:rsidRPr="00AB6090">
        <w:t xml:space="preserve">Une vérification périodique datant de moins de 3 ans et réalisée par un organisme accrédité. L’analyse de risque peut en tenir lieu si elle date de moins de 3 ans ;  </w:t>
      </w:r>
    </w:p>
    <w:p w14:paraId="1DF739CD" w14:textId="77777777" w:rsidR="00876AD3" w:rsidRPr="00AB6090" w:rsidRDefault="00876AD3" w:rsidP="0063032F">
      <w:pPr>
        <w:pStyle w:val="Paragraphedeliste"/>
        <w:numPr>
          <w:ilvl w:val="0"/>
          <w:numId w:val="50"/>
        </w:numPr>
        <w:jc w:val="both"/>
      </w:pPr>
      <w:r w:rsidRPr="00AB6090">
        <w:t xml:space="preserve">Une inspection d’entretien datant de moins d’un an et réalisée par un organisme indépendant ; </w:t>
      </w:r>
    </w:p>
    <w:p w14:paraId="30713C60" w14:textId="77777777" w:rsidR="00876AD3" w:rsidRPr="00AB6090" w:rsidRDefault="00876AD3" w:rsidP="0063032F">
      <w:pPr>
        <w:pStyle w:val="Paragraphedeliste"/>
        <w:numPr>
          <w:ilvl w:val="0"/>
          <w:numId w:val="50"/>
        </w:numPr>
        <w:jc w:val="both"/>
      </w:pPr>
      <w:r w:rsidRPr="00AB6090">
        <w:t xml:space="preserve">Une inspection de mise en place réalisée après chaque montage par un organisme indépendant. </w:t>
      </w:r>
    </w:p>
    <w:p w14:paraId="0325EC9F" w14:textId="77777777" w:rsidR="00876AD3" w:rsidRPr="00AB6090" w:rsidRDefault="00876AD3" w:rsidP="0063032F">
      <w:pPr>
        <w:jc w:val="both"/>
      </w:pPr>
      <w:r w:rsidRPr="00AB6090">
        <w:t xml:space="preserve"> </w:t>
      </w:r>
    </w:p>
    <w:p w14:paraId="60F336A6" w14:textId="77777777" w:rsidR="00876AD3" w:rsidRPr="00AB6090" w:rsidRDefault="00876AD3" w:rsidP="002126C4">
      <w:pPr>
        <w:pBdr>
          <w:top w:val="single" w:sz="4" w:space="1" w:color="auto"/>
          <w:left w:val="single" w:sz="4" w:space="4" w:color="auto"/>
          <w:bottom w:val="single" w:sz="4" w:space="1" w:color="auto"/>
          <w:right w:val="single" w:sz="4" w:space="4" w:color="auto"/>
        </w:pBdr>
        <w:jc w:val="both"/>
      </w:pPr>
      <w:r w:rsidRPr="00AB6090">
        <w:rPr>
          <w:b/>
        </w:rPr>
        <w:t>Attractions de type B</w:t>
      </w:r>
      <w:r w:rsidRPr="00AB6090">
        <w:t xml:space="preserve"> (celles qui ne sont pas de type A) : </w:t>
      </w:r>
    </w:p>
    <w:p w14:paraId="6D84628F" w14:textId="77777777" w:rsidR="00876AD3" w:rsidRPr="00AB6090" w:rsidRDefault="00876AD3" w:rsidP="0063032F">
      <w:pPr>
        <w:pStyle w:val="Paragraphedeliste"/>
        <w:numPr>
          <w:ilvl w:val="0"/>
          <w:numId w:val="51"/>
        </w:numPr>
        <w:jc w:val="both"/>
      </w:pPr>
      <w:r w:rsidRPr="00AB6090">
        <w:t xml:space="preserve">Une analyse de risque réalisée par un organisme indépendant ; </w:t>
      </w:r>
    </w:p>
    <w:p w14:paraId="0AC5FA25" w14:textId="77777777" w:rsidR="00876AD3" w:rsidRPr="00AB6090" w:rsidRDefault="00876AD3" w:rsidP="0063032F">
      <w:pPr>
        <w:pStyle w:val="Paragraphedeliste"/>
        <w:numPr>
          <w:ilvl w:val="0"/>
          <w:numId w:val="51"/>
        </w:numPr>
        <w:jc w:val="both"/>
      </w:pPr>
      <w:r w:rsidRPr="00AB6090">
        <w:t xml:space="preserve">Une vérification périodique datant de moins de 10 ans et réalisée par un organisme indépendant. L’analyse de risque peut en tenir lieu si elle date de moins de 10 ans ; </w:t>
      </w:r>
    </w:p>
    <w:p w14:paraId="681A0A06" w14:textId="77777777" w:rsidR="00876AD3" w:rsidRPr="00AB6090" w:rsidRDefault="00876AD3" w:rsidP="0063032F">
      <w:pPr>
        <w:pStyle w:val="Paragraphedeliste"/>
        <w:numPr>
          <w:ilvl w:val="0"/>
          <w:numId w:val="51"/>
        </w:numPr>
        <w:jc w:val="both"/>
      </w:pPr>
      <w:r w:rsidRPr="00AB6090">
        <w:t xml:space="preserve">Une inspection d’entretien datant de moins d’un an et réalisée par une personne compétente sur le plan technique ; </w:t>
      </w:r>
    </w:p>
    <w:p w14:paraId="49FF64F1" w14:textId="77777777" w:rsidR="00876AD3" w:rsidRPr="00AB6090" w:rsidRDefault="00876AD3" w:rsidP="0063032F">
      <w:pPr>
        <w:pStyle w:val="Paragraphedeliste"/>
        <w:numPr>
          <w:ilvl w:val="0"/>
          <w:numId w:val="51"/>
        </w:numPr>
        <w:jc w:val="both"/>
      </w:pPr>
      <w:r w:rsidRPr="00AB6090">
        <w:t xml:space="preserve">Une inspection de mise en place réalisée après chaque montage par l’exploitant éventuellement assisté de tiers. </w:t>
      </w:r>
    </w:p>
    <w:p w14:paraId="65D04671" w14:textId="77777777" w:rsidR="00876AD3" w:rsidRPr="00AB6090" w:rsidRDefault="00876AD3" w:rsidP="0063032F">
      <w:pPr>
        <w:jc w:val="both"/>
      </w:pPr>
      <w:r w:rsidRPr="00AB6090">
        <w:t xml:space="preserve"> Les attractions foraines sont généralement installées en coordination avec le placeur forain de la Ville qui connaît ces prescriptions et les vérifie.  Dans le cas contraire, c’est à l’organisateur de la festivité de s’assurer que tous les documents requis sont présents et valides. </w:t>
      </w:r>
    </w:p>
    <w:p w14:paraId="022B558A" w14:textId="77777777" w:rsidR="00876AD3" w:rsidRPr="00AB6090" w:rsidRDefault="00876AD3" w:rsidP="0063032F">
      <w:pPr>
        <w:jc w:val="both"/>
      </w:pPr>
      <w:r w:rsidRPr="00AB6090">
        <w:t xml:space="preserve"> </w:t>
      </w:r>
    </w:p>
    <w:p w14:paraId="537D459B" w14:textId="77777777" w:rsidR="00876AD3" w:rsidRPr="00AB6090" w:rsidRDefault="00876AD3" w:rsidP="0063032F">
      <w:pPr>
        <w:jc w:val="both"/>
      </w:pPr>
      <w:r w:rsidRPr="00AB6090">
        <w:t>Législation et références Arrêté Royal du 18.06.2003 relatif à l’exploitation des attractions foraines</w:t>
      </w:r>
    </w:p>
    <w:p w14:paraId="56BFA7FD" w14:textId="77777777" w:rsidR="00876AD3" w:rsidRPr="00AB6090" w:rsidRDefault="0053673F" w:rsidP="0063032F">
      <w:pPr>
        <w:pStyle w:val="Style2"/>
        <w:jc w:val="both"/>
        <w:outlineLvl w:val="1"/>
      </w:pPr>
      <w:r w:rsidRPr="00AB6090">
        <w:lastRenderedPageBreak/>
        <w:t xml:space="preserve"> </w:t>
      </w:r>
      <w:bookmarkStart w:id="183" w:name="_Toc55899710"/>
      <w:bookmarkStart w:id="184" w:name="_Toc55900454"/>
      <w:bookmarkStart w:id="185" w:name="_Toc56426945"/>
      <w:r w:rsidRPr="00AB6090">
        <w:t>Cortèges et allumoirs</w:t>
      </w:r>
      <w:bookmarkEnd w:id="183"/>
      <w:bookmarkEnd w:id="184"/>
      <w:bookmarkEnd w:id="185"/>
    </w:p>
    <w:p w14:paraId="119C690F" w14:textId="77777777" w:rsidR="0053673F" w:rsidRPr="00AB6090" w:rsidRDefault="0053673F" w:rsidP="0063032F">
      <w:pPr>
        <w:jc w:val="both"/>
      </w:pPr>
      <w:r w:rsidRPr="00AB6090">
        <w:t xml:space="preserve">Lors d’un cortège, une collaboration sera établie avec la police pour sécuriser le passage, ouvrir et fermer le cortège.  Si des chars sont prévus, une attention particulière sera portée à l’interaction chars – public (mesures afin d’éviter que des personnes ne soient accrochées par les chars). </w:t>
      </w:r>
    </w:p>
    <w:p w14:paraId="38771740" w14:textId="77777777" w:rsidR="0053673F" w:rsidRPr="00AB6090" w:rsidRDefault="0053673F" w:rsidP="0063032F">
      <w:pPr>
        <w:jc w:val="both"/>
      </w:pPr>
      <w:r w:rsidRPr="00AB6090">
        <w:t xml:space="preserve"> Il est de bonne pratique de prévoir avec l’organisateur un contrôle technique des chars avant d’autoriser le démarrage du cortège, en veillant par exemple aux points suivants : </w:t>
      </w:r>
    </w:p>
    <w:p w14:paraId="4BC3D1EF" w14:textId="77777777" w:rsidR="0053673F" w:rsidRPr="00AB6090" w:rsidRDefault="0053673F" w:rsidP="0063032F">
      <w:pPr>
        <w:pStyle w:val="Paragraphedeliste"/>
        <w:numPr>
          <w:ilvl w:val="0"/>
          <w:numId w:val="52"/>
        </w:numPr>
        <w:jc w:val="both"/>
      </w:pPr>
      <w:r w:rsidRPr="00AB6090">
        <w:t xml:space="preserve">Véhicule en ordre de contrôle technique ; </w:t>
      </w:r>
    </w:p>
    <w:p w14:paraId="325995F1" w14:textId="77777777" w:rsidR="0053673F" w:rsidRPr="00AB6090" w:rsidRDefault="0053673F" w:rsidP="0063032F">
      <w:pPr>
        <w:pStyle w:val="Paragraphedeliste"/>
        <w:numPr>
          <w:ilvl w:val="0"/>
          <w:numId w:val="52"/>
        </w:numPr>
        <w:jc w:val="both"/>
      </w:pPr>
      <w:r w:rsidRPr="00AB6090">
        <w:t xml:space="preserve">Dispositif interdisant au public de s’approcher trop près du char, de manière à ce qu’il ne puisse pas glisser sous les roues de celui-ci s’il tombe ; </w:t>
      </w:r>
    </w:p>
    <w:p w14:paraId="31DA0968" w14:textId="77777777" w:rsidR="0053673F" w:rsidRPr="00AB6090" w:rsidRDefault="0053673F" w:rsidP="0063032F">
      <w:pPr>
        <w:pStyle w:val="Paragraphedeliste"/>
        <w:numPr>
          <w:ilvl w:val="0"/>
          <w:numId w:val="52"/>
        </w:numPr>
        <w:jc w:val="both"/>
      </w:pPr>
      <w:r w:rsidRPr="00AB6090">
        <w:t xml:space="preserve">Dimensions maximales des décorations installées sur le char en fonction du gabarit des voiries qui vont être empruntées sur le parcours du cortège ; </w:t>
      </w:r>
    </w:p>
    <w:p w14:paraId="14A79FDE" w14:textId="77777777" w:rsidR="0053673F" w:rsidRPr="00AB6090" w:rsidRDefault="0053673F" w:rsidP="0063032F">
      <w:pPr>
        <w:pStyle w:val="Paragraphedeliste"/>
        <w:numPr>
          <w:ilvl w:val="0"/>
          <w:numId w:val="52"/>
        </w:numPr>
        <w:jc w:val="both"/>
      </w:pPr>
      <w:r w:rsidRPr="00AB6090">
        <w:t>1 extincteur à poudre de 6 kg sur chaque char, extincteur contrôlé depuis moins d’un an</w:t>
      </w:r>
    </w:p>
    <w:p w14:paraId="7DACCD41" w14:textId="77777777" w:rsidR="00876FBA" w:rsidRPr="00AB6090" w:rsidRDefault="00876FBA" w:rsidP="0063032F">
      <w:pPr>
        <w:pStyle w:val="Paragraphedeliste"/>
        <w:jc w:val="both"/>
      </w:pPr>
    </w:p>
    <w:p w14:paraId="694B2CFF" w14:textId="77777777" w:rsidR="00876AD3" w:rsidRPr="00AB6090" w:rsidRDefault="0053673F" w:rsidP="0063032F">
      <w:pPr>
        <w:pStyle w:val="Style2"/>
        <w:jc w:val="both"/>
        <w:outlineLvl w:val="1"/>
      </w:pPr>
      <w:bookmarkStart w:id="186" w:name="_Toc55899711"/>
      <w:bookmarkStart w:id="187" w:name="_Toc55900455"/>
      <w:bookmarkStart w:id="188" w:name="_Toc56426946"/>
      <w:r w:rsidRPr="00AB6090">
        <w:t xml:space="preserve">Démonstration de </w:t>
      </w:r>
      <w:proofErr w:type="spellStart"/>
      <w:r w:rsidRPr="00CE292C">
        <w:t>monster</w:t>
      </w:r>
      <w:proofErr w:type="spellEnd"/>
      <w:r w:rsidRPr="00AB6090">
        <w:t xml:space="preserve"> trucks</w:t>
      </w:r>
      <w:bookmarkEnd w:id="186"/>
      <w:bookmarkEnd w:id="187"/>
      <w:bookmarkEnd w:id="188"/>
    </w:p>
    <w:p w14:paraId="040A328B" w14:textId="77777777" w:rsidR="0053673F" w:rsidRPr="00AB6090" w:rsidRDefault="0053673F" w:rsidP="0063032F">
      <w:pPr>
        <w:jc w:val="both"/>
      </w:pPr>
      <w:r w:rsidRPr="00AB6090">
        <w:t xml:space="preserve">Lors des démonstrations de « </w:t>
      </w:r>
      <w:proofErr w:type="spellStart"/>
      <w:r w:rsidRPr="00AB6090">
        <w:t>monster</w:t>
      </w:r>
      <w:proofErr w:type="spellEnd"/>
      <w:r w:rsidRPr="00AB6090">
        <w:t xml:space="preserve"> trucks », les risques sont essentiellement amenés par le véhicule qui pourrait aller s’écraser dans la foule, les projections de débris ou de verre provenant des carcasses de voiture écrasées, ou encore le poste de remplissage de carburant.   </w:t>
      </w:r>
    </w:p>
    <w:p w14:paraId="1641B44C" w14:textId="77777777" w:rsidR="0053673F" w:rsidRPr="00AB6090" w:rsidRDefault="0053673F" w:rsidP="0063032F">
      <w:pPr>
        <w:jc w:val="both"/>
      </w:pPr>
      <w:r w:rsidRPr="00AB6090">
        <w:t xml:space="preserve"> </w:t>
      </w:r>
    </w:p>
    <w:p w14:paraId="71AE8B1E" w14:textId="77777777" w:rsidR="0053673F" w:rsidRPr="00AB6090" w:rsidRDefault="0053673F" w:rsidP="0063032F">
      <w:pPr>
        <w:jc w:val="both"/>
      </w:pPr>
      <w:r w:rsidRPr="00AB6090">
        <w:t xml:space="preserve">Des règles de bonne pratique ont été publiées par la « MTRA – Monster Truck Racing Association ».  Il est à noter que certaines règles sont typiquement associées aux véhicules « </w:t>
      </w:r>
      <w:proofErr w:type="spellStart"/>
      <w:r w:rsidRPr="00AB6090">
        <w:t>monster</w:t>
      </w:r>
      <w:proofErr w:type="spellEnd"/>
      <w:r w:rsidRPr="00AB6090">
        <w:t xml:space="preserve"> trucks » américains puisqu’il s’agit de règles issues d’une association américaine.  Ces règles sont reproduites ci-dessous, l’autorité communale pourra s’en inspirer pour prescrire les mesures de sécurité applicables à la manifestation.   </w:t>
      </w:r>
    </w:p>
    <w:p w14:paraId="501BF0FD" w14:textId="77777777" w:rsidR="0053673F" w:rsidRPr="00AB6090" w:rsidRDefault="0053673F" w:rsidP="0063032F">
      <w:pPr>
        <w:pStyle w:val="Paragraphedeliste"/>
        <w:numPr>
          <w:ilvl w:val="0"/>
          <w:numId w:val="53"/>
        </w:numPr>
        <w:jc w:val="both"/>
      </w:pPr>
      <w:r w:rsidRPr="00AB6090">
        <w:t xml:space="preserve">Les véhicules doivent être approuvés techniquement ; </w:t>
      </w:r>
    </w:p>
    <w:p w14:paraId="5AF8F3BF" w14:textId="77777777" w:rsidR="0053673F" w:rsidRPr="00AB6090" w:rsidRDefault="0053673F" w:rsidP="0063032F">
      <w:pPr>
        <w:pStyle w:val="Paragraphedeliste"/>
        <w:numPr>
          <w:ilvl w:val="0"/>
          <w:numId w:val="53"/>
        </w:numPr>
        <w:jc w:val="both"/>
      </w:pPr>
      <w:r w:rsidRPr="00AB6090">
        <w:t xml:space="preserve">En cas d’affiliation à une fédération de </w:t>
      </w:r>
      <w:proofErr w:type="spellStart"/>
      <w:r w:rsidRPr="00AB6090">
        <w:t>monster</w:t>
      </w:r>
      <w:proofErr w:type="spellEnd"/>
      <w:r w:rsidRPr="00AB6090">
        <w:t xml:space="preserve"> trucks, les pilotes doivent être en possession d’une licence ou d’un document équivalent fourni par leur fédération ; </w:t>
      </w:r>
    </w:p>
    <w:p w14:paraId="1BABDE6D" w14:textId="77777777" w:rsidR="0053673F" w:rsidRPr="00AB6090" w:rsidRDefault="0053673F" w:rsidP="0063032F">
      <w:pPr>
        <w:pStyle w:val="Paragraphedeliste"/>
        <w:numPr>
          <w:ilvl w:val="0"/>
          <w:numId w:val="53"/>
        </w:numPr>
        <w:jc w:val="both"/>
      </w:pPr>
      <w:r w:rsidRPr="00AB6090">
        <w:t xml:space="preserve">Si les véhicules sont équipés d’un interrupteur à distance, celui-ci doit être testé avant chaque parcours ; </w:t>
      </w:r>
      <w:r w:rsidRPr="00AB6090">
        <w:t xml:space="preserve"> Un minimum de 2 personnes sont chargées de veiller sur l’interrupteur à distance pendant la démonstration des véhicules.  Ces personnes sont formées et surveillent l’ensemble de la zone de démonstration. </w:t>
      </w:r>
    </w:p>
    <w:p w14:paraId="2B80AEA0" w14:textId="77777777" w:rsidR="0053673F" w:rsidRPr="00AB6090" w:rsidRDefault="0053673F" w:rsidP="0063032F">
      <w:pPr>
        <w:pStyle w:val="Paragraphedeliste"/>
        <w:numPr>
          <w:ilvl w:val="0"/>
          <w:numId w:val="53"/>
        </w:numPr>
        <w:jc w:val="both"/>
      </w:pPr>
      <w:r w:rsidRPr="00AB6090">
        <w:t xml:space="preserve">Le coordinateur de la manifestation est placé à une position haute d’où il a une vue sur l’ensemble de la zone de démonstration ; </w:t>
      </w:r>
    </w:p>
    <w:p w14:paraId="02B7FE5B" w14:textId="77777777" w:rsidR="0053673F" w:rsidRPr="00AB6090" w:rsidRDefault="0053673F" w:rsidP="0063032F">
      <w:pPr>
        <w:pStyle w:val="Paragraphedeliste"/>
        <w:numPr>
          <w:ilvl w:val="0"/>
          <w:numId w:val="53"/>
        </w:numPr>
        <w:jc w:val="both"/>
      </w:pPr>
      <w:r w:rsidRPr="00AB6090">
        <w:t xml:space="preserve">Personne n’est autorisé à entrer dans l’aire de démonstration (public, équipe technique, photographe, organisateur, etc.) ; </w:t>
      </w:r>
    </w:p>
    <w:p w14:paraId="67A58E72" w14:textId="77777777" w:rsidR="0053673F" w:rsidRPr="00AB6090" w:rsidRDefault="0053673F" w:rsidP="0063032F">
      <w:pPr>
        <w:pStyle w:val="Paragraphedeliste"/>
        <w:numPr>
          <w:ilvl w:val="0"/>
          <w:numId w:val="53"/>
        </w:numPr>
        <w:jc w:val="both"/>
      </w:pPr>
      <w:r w:rsidRPr="00AB6090">
        <w:t xml:space="preserve">Les aires techniques sont interdites au personnel non autorisé ; </w:t>
      </w:r>
    </w:p>
    <w:p w14:paraId="55569DC2" w14:textId="77777777" w:rsidR="0053673F" w:rsidRPr="00AB6090" w:rsidRDefault="0053673F" w:rsidP="0063032F">
      <w:pPr>
        <w:pStyle w:val="Paragraphedeliste"/>
        <w:numPr>
          <w:ilvl w:val="0"/>
          <w:numId w:val="53"/>
        </w:numPr>
        <w:jc w:val="both"/>
      </w:pPr>
      <w:r w:rsidRPr="00AB6090">
        <w:t xml:space="preserve">Tout essai ou réglage de véhicules doit être réalisé sur l’aire technique.  Si une équipe technique doit intervenir dans la zone de démonstration, cela ne peut avoir lieu pendant qu’un véhicule effectue sa démonstration ; </w:t>
      </w:r>
    </w:p>
    <w:p w14:paraId="76EEECFF" w14:textId="77777777" w:rsidR="0053673F" w:rsidRPr="00AB6090" w:rsidRDefault="0053673F" w:rsidP="0063032F">
      <w:pPr>
        <w:pStyle w:val="Paragraphedeliste"/>
        <w:numPr>
          <w:ilvl w:val="0"/>
          <w:numId w:val="53"/>
        </w:numPr>
        <w:jc w:val="both"/>
      </w:pPr>
      <w:r w:rsidRPr="00AB6090">
        <w:t xml:space="preserve">Les voitures destinées à être écrasées ou au-dessus desquelles les « </w:t>
      </w:r>
      <w:proofErr w:type="spellStart"/>
      <w:r w:rsidRPr="00AB6090">
        <w:t>monster</w:t>
      </w:r>
      <w:proofErr w:type="spellEnd"/>
      <w:r w:rsidRPr="00AB6090">
        <w:t xml:space="preserve"> trucks » passent ou sautent doivent être préparées (enlever tout fuel, huile, vitres, dégonfler les pneus, enlever les antennes et remplir l’espace moteur vide avec des pneus) ; </w:t>
      </w:r>
    </w:p>
    <w:p w14:paraId="4706E474" w14:textId="77777777" w:rsidR="0053673F" w:rsidRPr="00AB6090" w:rsidRDefault="0053673F" w:rsidP="0063032F">
      <w:pPr>
        <w:pStyle w:val="Paragraphedeliste"/>
        <w:numPr>
          <w:ilvl w:val="0"/>
          <w:numId w:val="53"/>
        </w:numPr>
        <w:jc w:val="both"/>
      </w:pPr>
      <w:r w:rsidRPr="00AB6090">
        <w:t xml:space="preserve">La distance de réception des « </w:t>
      </w:r>
      <w:proofErr w:type="spellStart"/>
      <w:r w:rsidRPr="00AB6090">
        <w:t>monster</w:t>
      </w:r>
      <w:proofErr w:type="spellEnd"/>
      <w:r w:rsidRPr="00AB6090">
        <w:t xml:space="preserve"> trucks » après passage de l’obstacle est égale au minimum au double de la longueur totale d’approche et d’obstacles (voitures à écraser, rampes, etc.) ; </w:t>
      </w:r>
    </w:p>
    <w:p w14:paraId="6E770CAE" w14:textId="77777777" w:rsidR="0053673F" w:rsidRPr="00AB6090" w:rsidRDefault="0053673F" w:rsidP="0063032F">
      <w:pPr>
        <w:pStyle w:val="Paragraphedeliste"/>
        <w:numPr>
          <w:ilvl w:val="0"/>
          <w:numId w:val="53"/>
        </w:numPr>
        <w:jc w:val="both"/>
      </w:pPr>
      <w:r w:rsidRPr="00AB6090">
        <w:t xml:space="preserve">Les véhicules ne doivent pas s’approcher des obstacles en direction des spectateurs ; </w:t>
      </w:r>
    </w:p>
    <w:p w14:paraId="682E678B" w14:textId="77777777" w:rsidR="0053673F" w:rsidRPr="00AB6090" w:rsidRDefault="0053673F" w:rsidP="0063032F">
      <w:pPr>
        <w:pStyle w:val="Paragraphedeliste"/>
        <w:numPr>
          <w:ilvl w:val="0"/>
          <w:numId w:val="53"/>
        </w:numPr>
        <w:jc w:val="both"/>
      </w:pPr>
      <w:r w:rsidRPr="00AB6090">
        <w:t>Les véhicules ne sont pas autorisés à s’approcher des spectateurs à vitesse élevée ;</w:t>
      </w:r>
    </w:p>
    <w:p w14:paraId="574734E8" w14:textId="77777777" w:rsidR="0053673F" w:rsidRPr="00AB6090" w:rsidRDefault="0053673F" w:rsidP="0063032F">
      <w:pPr>
        <w:pStyle w:val="Paragraphedeliste"/>
        <w:numPr>
          <w:ilvl w:val="0"/>
          <w:numId w:val="53"/>
        </w:numPr>
        <w:jc w:val="both"/>
      </w:pPr>
      <w:r w:rsidRPr="00AB6090">
        <w:t xml:space="preserve">Les voies de sortie de la zone de démonstration sont gardées libres pendant tout le spectacle ; </w:t>
      </w:r>
    </w:p>
    <w:p w14:paraId="61C59A52" w14:textId="77777777" w:rsidR="0053673F" w:rsidRPr="00AB6090" w:rsidRDefault="0053673F" w:rsidP="0063032F">
      <w:pPr>
        <w:pStyle w:val="Paragraphedeliste"/>
        <w:numPr>
          <w:ilvl w:val="0"/>
          <w:numId w:val="53"/>
        </w:numPr>
        <w:jc w:val="both"/>
      </w:pPr>
      <w:r w:rsidRPr="00AB6090">
        <w:t xml:space="preserve">Les spectateurs sont seulement autorisés dans la zone réservée au public, qui est clairement délimitée par des barrières les empêchant de pénétrer dans la zone de démonstration ; </w:t>
      </w:r>
    </w:p>
    <w:p w14:paraId="74BE2729" w14:textId="77777777" w:rsidR="0053673F" w:rsidRPr="00AB6090" w:rsidRDefault="0053673F" w:rsidP="0063032F">
      <w:pPr>
        <w:pStyle w:val="Paragraphedeliste"/>
        <w:numPr>
          <w:ilvl w:val="0"/>
          <w:numId w:val="53"/>
        </w:numPr>
        <w:jc w:val="both"/>
      </w:pPr>
      <w:r w:rsidRPr="00AB6090">
        <w:t xml:space="preserve">La zone interdite au public est dimensionnée au minimum selon les principes repris dans le schéma ci-après ; </w:t>
      </w:r>
    </w:p>
    <w:p w14:paraId="3DF134E6" w14:textId="77777777" w:rsidR="0053673F" w:rsidRPr="00AB6090" w:rsidRDefault="0053673F" w:rsidP="0063032F">
      <w:pPr>
        <w:pStyle w:val="Paragraphedeliste"/>
        <w:numPr>
          <w:ilvl w:val="0"/>
          <w:numId w:val="53"/>
        </w:numPr>
        <w:jc w:val="both"/>
      </w:pPr>
      <w:r w:rsidRPr="00AB6090">
        <w:t xml:space="preserve">Les barrières de protection du public doivent se prolonger jusqu’à au moins 10 m après la zone de démonstration ; </w:t>
      </w:r>
    </w:p>
    <w:p w14:paraId="69872FB2" w14:textId="77777777" w:rsidR="0053673F" w:rsidRPr="00AB6090" w:rsidRDefault="0053673F" w:rsidP="0063032F">
      <w:pPr>
        <w:pStyle w:val="Paragraphedeliste"/>
        <w:numPr>
          <w:ilvl w:val="0"/>
          <w:numId w:val="53"/>
        </w:numPr>
        <w:jc w:val="both"/>
      </w:pPr>
      <w:r w:rsidRPr="00AB6090">
        <w:t xml:space="preserve">Les spectateurs ne peuvent pas se trouver dans l’axe de la démonstration, sauf s’ils sont protégés par un mur solide et situés à une hauteur minimum de 5 m au-dessus du sol de la zone de démonstration ; </w:t>
      </w:r>
    </w:p>
    <w:p w14:paraId="023DBF32" w14:textId="77777777" w:rsidR="0053673F" w:rsidRPr="00AB6090" w:rsidRDefault="0053673F" w:rsidP="0063032F">
      <w:pPr>
        <w:pStyle w:val="Paragraphedeliste"/>
        <w:numPr>
          <w:ilvl w:val="0"/>
          <w:numId w:val="53"/>
        </w:numPr>
        <w:jc w:val="both"/>
      </w:pPr>
      <w:r w:rsidRPr="00AB6090">
        <w:t xml:space="preserve">Pendant une phase d’exposition des véhicules sans qu’ils ne soient en mouvement, l’organisateur doit prendre les mesures pour que le public ne grimpe pas sur les véhicules ou sur les pneus ; </w:t>
      </w:r>
    </w:p>
    <w:p w14:paraId="15DC9A7D" w14:textId="77777777" w:rsidR="0053673F" w:rsidRPr="00AB6090" w:rsidRDefault="0053673F" w:rsidP="0063032F">
      <w:pPr>
        <w:pStyle w:val="Paragraphedeliste"/>
        <w:numPr>
          <w:ilvl w:val="0"/>
          <w:numId w:val="53"/>
        </w:numPr>
        <w:jc w:val="both"/>
      </w:pPr>
      <w:r w:rsidRPr="00AB6090">
        <w:t xml:space="preserve">Les voitures destinées à être écrasées ou au-dessus desquelles passent les « </w:t>
      </w:r>
      <w:proofErr w:type="spellStart"/>
      <w:r w:rsidRPr="00AB6090">
        <w:t>monster</w:t>
      </w:r>
      <w:proofErr w:type="spellEnd"/>
      <w:r w:rsidRPr="00AB6090">
        <w:t xml:space="preserve"> trucks » doivent être disposées de telle sorte que le public ne puisse pas se blesser, par exemple avec du verre brisé ; </w:t>
      </w:r>
    </w:p>
    <w:p w14:paraId="4B1F5F2A" w14:textId="77777777" w:rsidR="0053673F" w:rsidRPr="00AB6090" w:rsidRDefault="0053673F" w:rsidP="0063032F">
      <w:pPr>
        <w:pStyle w:val="Paragraphedeliste"/>
        <w:numPr>
          <w:ilvl w:val="0"/>
          <w:numId w:val="53"/>
        </w:numPr>
        <w:jc w:val="both"/>
      </w:pPr>
      <w:r w:rsidRPr="00AB6090">
        <w:t xml:space="preserve">En cas d’utilisation d’un poste de remplissage de carburant, l’équipe technique doit disposer d’un extincteur à poudre de 50 kg minimum.  Le carburant sera placé sur un bac de rétention à même de retenir toute fuite ; </w:t>
      </w:r>
    </w:p>
    <w:p w14:paraId="0D92B01E" w14:textId="77777777" w:rsidR="0053673F" w:rsidRPr="00AB6090" w:rsidRDefault="0053673F" w:rsidP="0063032F">
      <w:pPr>
        <w:pStyle w:val="Paragraphedeliste"/>
        <w:numPr>
          <w:ilvl w:val="0"/>
          <w:numId w:val="53"/>
        </w:numPr>
        <w:jc w:val="both"/>
      </w:pPr>
      <w:r w:rsidRPr="00AB6090">
        <w:t>Un règlement d’ordre intérieur sera réalisé par l’organisateur, imposant des mesures de sécurité comme par exemple le contrôle alcool / drogue du chauffeur avant la démonstration, l’obligation du port du casque et d’une salopette et de chaussures appropriées pour le chauffeur, une vitesse maximum admise, etc.</w:t>
      </w:r>
    </w:p>
    <w:p w14:paraId="4F7B2AEA" w14:textId="77777777" w:rsidR="0053673F" w:rsidRDefault="0053673F" w:rsidP="0063032F">
      <w:pPr>
        <w:jc w:val="both"/>
      </w:pPr>
      <w:r w:rsidRPr="00AB6090">
        <w:rPr>
          <w:noProof/>
          <w:lang w:val="fr-BE" w:eastAsia="fr-BE"/>
        </w:rPr>
        <w:lastRenderedPageBreak/>
        <w:drawing>
          <wp:inline distT="0" distB="0" distL="0" distR="0" wp14:anchorId="6A6B443F" wp14:editId="302604A5">
            <wp:extent cx="6000750" cy="442912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00750" cy="4429125"/>
                    </a:xfrm>
                    <a:prstGeom prst="rect">
                      <a:avLst/>
                    </a:prstGeom>
                  </pic:spPr>
                </pic:pic>
              </a:graphicData>
            </a:graphic>
          </wp:inline>
        </w:drawing>
      </w:r>
    </w:p>
    <w:p w14:paraId="6CB4EFA0" w14:textId="77777777" w:rsidR="002126C4" w:rsidRPr="00AB6090" w:rsidRDefault="002126C4" w:rsidP="0063032F">
      <w:pPr>
        <w:jc w:val="both"/>
      </w:pPr>
    </w:p>
    <w:p w14:paraId="5A631336" w14:textId="1751D773" w:rsidR="0053673F" w:rsidRPr="00AB6090" w:rsidRDefault="0053673F" w:rsidP="0063032F">
      <w:pPr>
        <w:pStyle w:val="Style2"/>
        <w:jc w:val="both"/>
        <w:outlineLvl w:val="1"/>
      </w:pPr>
      <w:bookmarkStart w:id="189" w:name="_Toc55899712"/>
      <w:bookmarkStart w:id="190" w:name="_Toc55900456"/>
      <w:bookmarkStart w:id="191" w:name="_Toc56426947"/>
      <w:r w:rsidRPr="00CE292C">
        <w:t>Activités</w:t>
      </w:r>
      <w:r w:rsidRPr="00AB6090">
        <w:t xml:space="preserve"> aquatiques ou à proximité de l</w:t>
      </w:r>
      <w:r w:rsidRPr="00AB6090">
        <w:rPr>
          <w:rFonts w:ascii="Times New Roman" w:hAnsi="Times New Roman" w:cs="Times New Roman"/>
        </w:rPr>
        <w:t>’</w:t>
      </w:r>
      <w:r w:rsidRPr="00AB6090">
        <w:t>eau</w:t>
      </w:r>
      <w:bookmarkEnd w:id="189"/>
      <w:bookmarkEnd w:id="190"/>
      <w:bookmarkEnd w:id="191"/>
    </w:p>
    <w:p w14:paraId="25E4F53B" w14:textId="77777777" w:rsidR="0053673F" w:rsidRPr="00AB6090" w:rsidRDefault="00876FBA" w:rsidP="0063032F">
      <w:pPr>
        <w:jc w:val="both"/>
      </w:pPr>
      <w:r w:rsidRPr="00AB6090">
        <w:t>L</w:t>
      </w:r>
      <w:r w:rsidR="0053673F" w:rsidRPr="00AB6090">
        <w:t xml:space="preserve">’organisateur devra analyser les risques amenés par son activité. </w:t>
      </w:r>
    </w:p>
    <w:p w14:paraId="5BA0A083" w14:textId="77777777" w:rsidR="0053673F" w:rsidRPr="00AB6090" w:rsidRDefault="0053673F" w:rsidP="0063032F">
      <w:pPr>
        <w:jc w:val="both"/>
      </w:pPr>
      <w:r w:rsidRPr="00AB6090">
        <w:t xml:space="preserve"> </w:t>
      </w:r>
    </w:p>
    <w:p w14:paraId="3C3AB7C1" w14:textId="77777777" w:rsidR="0053673F" w:rsidRPr="00AB6090" w:rsidRDefault="0053673F" w:rsidP="0063032F">
      <w:pPr>
        <w:jc w:val="both"/>
      </w:pPr>
      <w:r w:rsidRPr="00AB6090">
        <w:t xml:space="preserve">S’il apparaît qu’il y a une possibilité de devoir aller repêcher des personnes en difficulté dans l’eau, l’organisateur devra prévoir un dispositif préventif pour pouvoir réaliser ce repêchage (équipe(s) mobile(s), sur un ou plusieurs bateaux en fonction de l’étendue du site et du nombre de participants, avec les compétences pour aller faire du sauvetage en surface). </w:t>
      </w:r>
    </w:p>
    <w:p w14:paraId="33A82BC0" w14:textId="77777777" w:rsidR="0053673F" w:rsidRPr="00AB6090" w:rsidRDefault="0053673F" w:rsidP="0063032F">
      <w:pPr>
        <w:jc w:val="both"/>
      </w:pPr>
      <w:r w:rsidRPr="00AB6090">
        <w:t xml:space="preserve"> </w:t>
      </w:r>
    </w:p>
    <w:p w14:paraId="1DC078EA" w14:textId="77031293" w:rsidR="003C4533" w:rsidRDefault="0053673F" w:rsidP="0063032F">
      <w:pPr>
        <w:jc w:val="both"/>
      </w:pPr>
      <w:r w:rsidRPr="00AB6090">
        <w:t>D’autre part, il y a lieu de sécuriser les endroits où les spectateurs seront présents (berges, pontons, …) pour éviter que ce public ne tombe dans l’eau</w:t>
      </w:r>
    </w:p>
    <w:p w14:paraId="4BEC97D3" w14:textId="5899003D" w:rsidR="00141630" w:rsidRDefault="00141630" w:rsidP="0063032F">
      <w:pPr>
        <w:jc w:val="both"/>
      </w:pPr>
    </w:p>
    <w:p w14:paraId="00AAFF47" w14:textId="3B0FF579" w:rsidR="00141630" w:rsidRDefault="00141630" w:rsidP="0063032F">
      <w:pPr>
        <w:jc w:val="both"/>
      </w:pPr>
    </w:p>
    <w:p w14:paraId="6E490304" w14:textId="02059084" w:rsidR="00141630" w:rsidRDefault="00141630" w:rsidP="0063032F">
      <w:pPr>
        <w:jc w:val="both"/>
      </w:pPr>
    </w:p>
    <w:p w14:paraId="2A85C656" w14:textId="6916956D" w:rsidR="00141630" w:rsidRDefault="00141630" w:rsidP="0063032F">
      <w:pPr>
        <w:jc w:val="both"/>
      </w:pPr>
    </w:p>
    <w:p w14:paraId="226F72AE" w14:textId="288F4F42" w:rsidR="00141630" w:rsidRDefault="00141630" w:rsidP="0063032F">
      <w:pPr>
        <w:jc w:val="both"/>
      </w:pPr>
    </w:p>
    <w:p w14:paraId="7459B26D" w14:textId="77777777" w:rsidR="002126C4" w:rsidRDefault="002126C4" w:rsidP="0063032F">
      <w:pPr>
        <w:jc w:val="both"/>
      </w:pPr>
    </w:p>
    <w:p w14:paraId="50924551" w14:textId="77777777" w:rsidR="002126C4" w:rsidRDefault="002126C4" w:rsidP="0063032F">
      <w:pPr>
        <w:jc w:val="both"/>
      </w:pPr>
    </w:p>
    <w:p w14:paraId="1CE06CD9" w14:textId="77777777" w:rsidR="00141630" w:rsidRPr="00AB6090" w:rsidRDefault="00141630" w:rsidP="0063032F">
      <w:pPr>
        <w:jc w:val="both"/>
      </w:pPr>
    </w:p>
    <w:p w14:paraId="6F18A164" w14:textId="48B619FE" w:rsidR="0053673F" w:rsidRPr="003E4333" w:rsidRDefault="0053673F" w:rsidP="0063032F">
      <w:pPr>
        <w:pStyle w:val="Titre"/>
        <w:numPr>
          <w:ilvl w:val="0"/>
          <w:numId w:val="72"/>
        </w:numPr>
        <w:pBdr>
          <w:top w:val="single" w:sz="4" w:space="1" w:color="auto"/>
          <w:left w:val="single" w:sz="4" w:space="4" w:color="auto"/>
          <w:bottom w:val="single" w:sz="4" w:space="1" w:color="auto"/>
          <w:right w:val="single" w:sz="4" w:space="4" w:color="auto"/>
        </w:pBdr>
        <w:jc w:val="both"/>
        <w:outlineLvl w:val="0"/>
      </w:pPr>
      <w:bookmarkStart w:id="192" w:name="_Toc56426948"/>
      <w:r w:rsidRPr="003E4333">
        <w:lastRenderedPageBreak/>
        <w:t>Contrôles préventifs juste avant l’ouverture de l’événement au public</w:t>
      </w:r>
      <w:bookmarkEnd w:id="192"/>
    </w:p>
    <w:p w14:paraId="167A20B3" w14:textId="77777777" w:rsidR="002126C4" w:rsidRDefault="002126C4" w:rsidP="0063032F">
      <w:pPr>
        <w:jc w:val="both"/>
      </w:pPr>
    </w:p>
    <w:p w14:paraId="23856C8D" w14:textId="3F15B4CF" w:rsidR="0053673F" w:rsidRPr="00AB6090" w:rsidRDefault="0053673F" w:rsidP="0063032F">
      <w:pPr>
        <w:jc w:val="both"/>
      </w:pPr>
      <w:r w:rsidRPr="00AB6090">
        <w:t>Avant l’ouverture de la manifestation au public, il importe que l’organisateur ait mis en œuvre toutes les prescriptions de sécurité qui lui auront été signifiées dans l’autorisation délivrée par le Bourgmestre, ainsi que celles qu’il aura établies sur base d</w:t>
      </w:r>
      <w:r w:rsidR="002126C4">
        <w:t xml:space="preserve">e sa propre analyse de risque. </w:t>
      </w:r>
    </w:p>
    <w:p w14:paraId="50A2303E" w14:textId="77777777" w:rsidR="00BB1706" w:rsidRPr="00AB6090" w:rsidRDefault="0053673F" w:rsidP="0063032F">
      <w:pPr>
        <w:jc w:val="both"/>
      </w:pPr>
      <w:r w:rsidRPr="00AB6090">
        <w:t>Dans certains cas, le Bourgmestre pourra souhaiter que le respect des mesures de sécurité prescrites fasse l’objet d’un contrôle, dont il faut déterminer s’il doit être effectué par la zone de secours, les services communaux, les services de police, un service externe de contrôle technique, …</w:t>
      </w:r>
    </w:p>
    <w:p w14:paraId="79219E40" w14:textId="77777777" w:rsidR="0053673F" w:rsidRPr="00AB6090" w:rsidRDefault="0053673F" w:rsidP="0063032F">
      <w:pPr>
        <w:jc w:val="both"/>
      </w:pPr>
      <w:r w:rsidRPr="00AB6090">
        <w:t xml:space="preserve">La règle à retenir est la suivante : la zone de secours devra être sollicitée pour les contrôles </w:t>
      </w:r>
      <w:r w:rsidRPr="00AB6090">
        <w:rPr>
          <w:b/>
        </w:rPr>
        <w:t>répondant aux conditions</w:t>
      </w:r>
      <w:r w:rsidRPr="00AB6090">
        <w:t xml:space="preserve"> ci-dessous : </w:t>
      </w:r>
    </w:p>
    <w:p w14:paraId="19C0F463" w14:textId="77777777" w:rsidR="0053673F" w:rsidRPr="00AB6090" w:rsidRDefault="0053673F" w:rsidP="0063032F">
      <w:pPr>
        <w:pStyle w:val="Paragraphedeliste"/>
        <w:numPr>
          <w:ilvl w:val="0"/>
          <w:numId w:val="54"/>
        </w:numPr>
        <w:jc w:val="both"/>
      </w:pPr>
      <w:r w:rsidRPr="00AB6090">
        <w:t xml:space="preserve">Le contrôle des chapiteaux de plus de 200 m² avant leur ouverture au public ; </w:t>
      </w:r>
    </w:p>
    <w:p w14:paraId="1A6C4C9D" w14:textId="77777777" w:rsidR="0053673F" w:rsidRPr="00AB6090" w:rsidRDefault="0053673F" w:rsidP="0063032F">
      <w:pPr>
        <w:pStyle w:val="Paragraphedeliste"/>
        <w:numPr>
          <w:ilvl w:val="0"/>
          <w:numId w:val="54"/>
        </w:numPr>
        <w:jc w:val="both"/>
      </w:pPr>
      <w:r w:rsidRPr="00AB6090">
        <w:t>Les contrôles qui auront été décidés lors de la réunion de coordination multidisciplinaire de sécurité, et actés dans le rapport de réunion, à la condition que :</w:t>
      </w:r>
    </w:p>
    <w:p w14:paraId="47C3E3EC" w14:textId="77777777" w:rsidR="0053673F" w:rsidRPr="00AB6090" w:rsidRDefault="0053673F" w:rsidP="0063032F">
      <w:pPr>
        <w:pStyle w:val="Paragraphedeliste"/>
        <w:numPr>
          <w:ilvl w:val="1"/>
          <w:numId w:val="54"/>
        </w:numPr>
        <w:jc w:val="both"/>
      </w:pPr>
      <w:r w:rsidRPr="00AB6090">
        <w:t xml:space="preserve">le rapport de réunion soit approuvé par les participants à la réunion ; </w:t>
      </w:r>
    </w:p>
    <w:p w14:paraId="410BBA1D" w14:textId="77777777" w:rsidR="0053673F" w:rsidRPr="00AB6090" w:rsidRDefault="0053673F" w:rsidP="0063032F">
      <w:pPr>
        <w:pStyle w:val="Paragraphedeliste"/>
        <w:numPr>
          <w:ilvl w:val="1"/>
          <w:numId w:val="54"/>
        </w:numPr>
        <w:jc w:val="both"/>
      </w:pPr>
      <w:r w:rsidRPr="00AB6090">
        <w:t xml:space="preserve">un représentant de la zone de secours ait participé à la réunion ; </w:t>
      </w:r>
    </w:p>
    <w:p w14:paraId="79EFBB28" w14:textId="77777777" w:rsidR="0053673F" w:rsidRPr="00AB6090" w:rsidRDefault="0053673F" w:rsidP="0063032F">
      <w:pPr>
        <w:pStyle w:val="Paragraphedeliste"/>
        <w:numPr>
          <w:ilvl w:val="1"/>
          <w:numId w:val="54"/>
        </w:numPr>
        <w:jc w:val="both"/>
      </w:pPr>
      <w:r w:rsidRPr="00AB6090">
        <w:t xml:space="preserve">le rapport de réunion mentionne clairement la procédure à suivre en cas de constat de non-conformité. </w:t>
      </w:r>
    </w:p>
    <w:p w14:paraId="7CEBD873" w14:textId="77777777" w:rsidR="0053673F" w:rsidRPr="00AB6090" w:rsidRDefault="0053673F" w:rsidP="0063032F">
      <w:pPr>
        <w:jc w:val="both"/>
        <w:rPr>
          <w:b/>
        </w:rPr>
      </w:pPr>
      <w:r w:rsidRPr="00AB6090">
        <w:t xml:space="preserve"> </w:t>
      </w:r>
      <w:r w:rsidRPr="00AB6090">
        <w:rPr>
          <w:b/>
        </w:rPr>
        <w:t>Un contrôle demandé à la zone de secours alors qu’il ne respecte pas les conditions précitées ne sera pas effectué.</w:t>
      </w:r>
    </w:p>
    <w:p w14:paraId="7EDBBBC5" w14:textId="77777777" w:rsidR="0053673F" w:rsidRPr="00AB6090" w:rsidRDefault="0053673F" w:rsidP="0063032F">
      <w:pPr>
        <w:jc w:val="both"/>
      </w:pPr>
      <w:r w:rsidRPr="00AB6090">
        <w:t xml:space="preserve">En cas de constat de non-conformité lors de la visite de contrôle, le représentant de la zone de secours : </w:t>
      </w:r>
    </w:p>
    <w:p w14:paraId="4EBF687B" w14:textId="77777777" w:rsidR="0053673F" w:rsidRPr="00AB6090" w:rsidRDefault="0053673F" w:rsidP="0063032F">
      <w:pPr>
        <w:pStyle w:val="Paragraphedeliste"/>
        <w:numPr>
          <w:ilvl w:val="0"/>
          <w:numId w:val="55"/>
        </w:numPr>
        <w:jc w:val="both"/>
      </w:pPr>
      <w:r w:rsidRPr="00AB6090">
        <w:t xml:space="preserve">contactera le bourgmestre (ou la personne qu’il aura désignée) par téléphone pour le prévenir de la non-conformité, la décision relative à la tenue de la festivité revenant ensuite au bourgmestre.  Au cours de la préparation de festivité, la commune pourra fournir un autre numéro de téléphone où donner le résultat d’un éventuel contrôle négatif, pour autant que des arrangements soient pris au sein de l’autorité communale pour que le bourgmestre soit informé du résultat du contrôle qui aura été communiqué ; </w:t>
      </w:r>
    </w:p>
    <w:p w14:paraId="20181086" w14:textId="6E3A9790" w:rsidR="0053673F" w:rsidRDefault="0053673F" w:rsidP="0063032F">
      <w:pPr>
        <w:pStyle w:val="Paragraphedeliste"/>
        <w:numPr>
          <w:ilvl w:val="0"/>
          <w:numId w:val="55"/>
        </w:numPr>
        <w:jc w:val="both"/>
      </w:pPr>
      <w:r w:rsidRPr="00AB6090">
        <w:t>enverra un mail au secrétariat du Bourgmestre pour lui donner un avis écrit</w:t>
      </w:r>
    </w:p>
    <w:p w14:paraId="58D5579D" w14:textId="03FEBADE" w:rsidR="00FB461E" w:rsidRDefault="00FB461E" w:rsidP="0063032F">
      <w:pPr>
        <w:jc w:val="both"/>
      </w:pPr>
    </w:p>
    <w:p w14:paraId="5E5394EA" w14:textId="4784ACAC" w:rsidR="00FB461E" w:rsidRDefault="00FB461E" w:rsidP="0063032F">
      <w:pPr>
        <w:jc w:val="both"/>
      </w:pPr>
    </w:p>
    <w:p w14:paraId="47E13041" w14:textId="25050B6D" w:rsidR="00FB461E" w:rsidRDefault="00FB461E" w:rsidP="0063032F">
      <w:pPr>
        <w:jc w:val="both"/>
      </w:pPr>
    </w:p>
    <w:p w14:paraId="4D9417F5" w14:textId="4567F728" w:rsidR="00FB461E" w:rsidRDefault="00FB461E" w:rsidP="0063032F">
      <w:pPr>
        <w:jc w:val="both"/>
      </w:pPr>
    </w:p>
    <w:p w14:paraId="40819B9D" w14:textId="473BA6F5" w:rsidR="00FB461E" w:rsidRDefault="00FB461E" w:rsidP="0063032F">
      <w:pPr>
        <w:jc w:val="both"/>
      </w:pPr>
    </w:p>
    <w:p w14:paraId="5680E570" w14:textId="29EECAC3" w:rsidR="00FB461E" w:rsidRDefault="00FB461E" w:rsidP="0063032F">
      <w:pPr>
        <w:jc w:val="both"/>
      </w:pPr>
    </w:p>
    <w:p w14:paraId="48E562D9" w14:textId="230DE7AA" w:rsidR="00FB461E" w:rsidRDefault="00FB461E" w:rsidP="0063032F">
      <w:pPr>
        <w:jc w:val="both"/>
      </w:pPr>
    </w:p>
    <w:p w14:paraId="677D2D83" w14:textId="4847E2BD" w:rsidR="00FB461E" w:rsidRDefault="00FB461E" w:rsidP="0063032F">
      <w:pPr>
        <w:jc w:val="both"/>
      </w:pPr>
    </w:p>
    <w:p w14:paraId="08D258EF" w14:textId="08AA8E5D" w:rsidR="00FB461E" w:rsidRDefault="00FB461E" w:rsidP="0063032F">
      <w:pPr>
        <w:jc w:val="both"/>
      </w:pPr>
    </w:p>
    <w:p w14:paraId="1224287B" w14:textId="1031ADFC" w:rsidR="00FB461E" w:rsidRDefault="00FB461E" w:rsidP="0063032F">
      <w:pPr>
        <w:jc w:val="both"/>
      </w:pPr>
    </w:p>
    <w:p w14:paraId="5CEC51F8" w14:textId="7111847D" w:rsidR="00FB461E" w:rsidRDefault="00FB461E" w:rsidP="0063032F">
      <w:pPr>
        <w:jc w:val="both"/>
      </w:pPr>
    </w:p>
    <w:p w14:paraId="481490BE" w14:textId="5801A110" w:rsidR="00FB461E" w:rsidRDefault="00FB461E" w:rsidP="0063032F">
      <w:pPr>
        <w:jc w:val="both"/>
      </w:pPr>
    </w:p>
    <w:p w14:paraId="518CCD0F" w14:textId="21A3A805" w:rsidR="00FB461E" w:rsidRDefault="00FB461E" w:rsidP="0063032F">
      <w:pPr>
        <w:jc w:val="both"/>
      </w:pPr>
    </w:p>
    <w:p w14:paraId="1E718D0D" w14:textId="053CFF46" w:rsidR="00FB461E" w:rsidRDefault="00FB461E" w:rsidP="0063032F">
      <w:pPr>
        <w:jc w:val="both"/>
      </w:pPr>
    </w:p>
    <w:p w14:paraId="1019C1DA" w14:textId="472E7C1F" w:rsidR="00FB461E" w:rsidRDefault="00FB461E" w:rsidP="0063032F">
      <w:pPr>
        <w:jc w:val="both"/>
      </w:pPr>
    </w:p>
    <w:p w14:paraId="5D5C8661" w14:textId="419C1E44" w:rsidR="00FB461E" w:rsidRDefault="00FB461E" w:rsidP="0063032F">
      <w:pPr>
        <w:jc w:val="both"/>
      </w:pPr>
    </w:p>
    <w:p w14:paraId="1D41E72E" w14:textId="044E8656" w:rsidR="00FB461E" w:rsidRDefault="00FB461E" w:rsidP="0063032F">
      <w:pPr>
        <w:jc w:val="both"/>
      </w:pPr>
    </w:p>
    <w:p w14:paraId="2D48740E" w14:textId="77777777" w:rsidR="00FB461E" w:rsidRPr="00AB6090" w:rsidRDefault="00FB461E" w:rsidP="0063032F">
      <w:pPr>
        <w:jc w:val="both"/>
      </w:pPr>
    </w:p>
    <w:p w14:paraId="563EB65A" w14:textId="77777777" w:rsidR="0053673F" w:rsidRPr="00AB6090" w:rsidRDefault="0053673F" w:rsidP="0063032F">
      <w:pPr>
        <w:pStyle w:val="Paragraphedeliste"/>
        <w:jc w:val="both"/>
      </w:pPr>
    </w:p>
    <w:p w14:paraId="3EE67416" w14:textId="2BAE4EFD" w:rsidR="0053673F" w:rsidRPr="003E4333" w:rsidRDefault="0053673F" w:rsidP="0063032F">
      <w:pPr>
        <w:pStyle w:val="Titre"/>
        <w:numPr>
          <w:ilvl w:val="0"/>
          <w:numId w:val="72"/>
        </w:numPr>
        <w:pBdr>
          <w:top w:val="single" w:sz="4" w:space="1" w:color="auto"/>
          <w:left w:val="single" w:sz="4" w:space="4" w:color="auto"/>
          <w:bottom w:val="single" w:sz="4" w:space="1" w:color="auto"/>
          <w:right w:val="single" w:sz="4" w:space="4" w:color="auto"/>
        </w:pBdr>
        <w:jc w:val="both"/>
        <w:outlineLvl w:val="0"/>
      </w:pPr>
      <w:bookmarkStart w:id="193" w:name="_Toc56426949"/>
      <w:r w:rsidRPr="003E4333">
        <w:lastRenderedPageBreak/>
        <w:t>Présence de pompiers pendant la tenue de l’événement</w:t>
      </w:r>
      <w:bookmarkEnd w:id="193"/>
    </w:p>
    <w:p w14:paraId="2A003E38" w14:textId="77777777" w:rsidR="0053673F" w:rsidRPr="00AB6090" w:rsidRDefault="0053673F" w:rsidP="0063032F">
      <w:pPr>
        <w:jc w:val="both"/>
      </w:pPr>
      <w:r w:rsidRPr="00AB6090">
        <w:t xml:space="preserve">Pour certains événements, il est possible qu’un dispositif préventif « pompier » soit requis pour assurer la sécurité de la manifestation.  Cette décision est toujours prise par la zone de secours en fonction de la description de l’événement, de l’avis qu’elle fournit et de l’analyse de risque. </w:t>
      </w:r>
    </w:p>
    <w:p w14:paraId="665FB618" w14:textId="77777777" w:rsidR="0053673F" w:rsidRPr="00AB6090" w:rsidRDefault="0053673F" w:rsidP="0063032F">
      <w:pPr>
        <w:jc w:val="both"/>
      </w:pPr>
      <w:r w:rsidRPr="00AB6090">
        <w:t xml:space="preserve"> </w:t>
      </w:r>
    </w:p>
    <w:p w14:paraId="00D9A910" w14:textId="77777777" w:rsidR="0053673F" w:rsidRPr="00AB6090" w:rsidRDefault="0053673F" w:rsidP="0063032F">
      <w:pPr>
        <w:jc w:val="both"/>
      </w:pPr>
      <w:r w:rsidRPr="00AB6090">
        <w:t xml:space="preserve">Une décision unilatérale de la nécessité de présence de pompiers, formulée par l’organisateur ou l’autorité communale sans requérir l’avis de la zone de secours, ne sera pas suivie par une présence effective d’un dispositif pompier sur le terrain.  En effet, seule l’analyse de risque effectuée par la zone de secours peut permettre de prendre une décision. </w:t>
      </w:r>
    </w:p>
    <w:p w14:paraId="39378555" w14:textId="77777777" w:rsidR="0053673F" w:rsidRPr="00AB6090" w:rsidRDefault="0053673F" w:rsidP="0063032F">
      <w:pPr>
        <w:jc w:val="both"/>
      </w:pPr>
      <w:r w:rsidRPr="00AB6090">
        <w:t xml:space="preserve"> </w:t>
      </w:r>
    </w:p>
    <w:p w14:paraId="2202E267" w14:textId="77777777" w:rsidR="0053673F" w:rsidRPr="00AB6090" w:rsidRDefault="0053673F" w:rsidP="0063032F">
      <w:pPr>
        <w:jc w:val="both"/>
      </w:pPr>
      <w:r w:rsidRPr="00AB6090">
        <w:t xml:space="preserve">L’analyse de risque prendra en compte les risques amenés par la manifestation ainsi que la nécessité de maintenir une couverture opérationnelle suffisante pour assurer les missions quotidiennes de secours à la population. </w:t>
      </w:r>
    </w:p>
    <w:p w14:paraId="63B44429" w14:textId="77777777" w:rsidR="0053673F" w:rsidRPr="00AB6090" w:rsidRDefault="0053673F" w:rsidP="0063032F">
      <w:pPr>
        <w:jc w:val="both"/>
      </w:pPr>
      <w:r w:rsidRPr="00AB6090">
        <w:t xml:space="preserve"> </w:t>
      </w:r>
    </w:p>
    <w:p w14:paraId="15A7C252" w14:textId="77777777" w:rsidR="0053673F" w:rsidRDefault="0053673F" w:rsidP="0063032F">
      <w:pPr>
        <w:jc w:val="both"/>
        <w:rPr>
          <w:b/>
        </w:rPr>
      </w:pPr>
      <w:r w:rsidRPr="00AB6090">
        <w:t xml:space="preserve">Si la conclusion de l’analyse amène à prévoir un dispositif pompier spécifique pendant l’événement sur le site de celui-ci, la mise à disposition de personnel et de matériel </w:t>
      </w:r>
      <w:r w:rsidRPr="00AB6090">
        <w:rPr>
          <w:b/>
        </w:rPr>
        <w:t>sera soumise au règlement taxe de la zone de secours et facturé à l’organisateur.</w:t>
      </w:r>
    </w:p>
    <w:p w14:paraId="71E9D4CF" w14:textId="77777777" w:rsidR="00613D81" w:rsidRPr="00613D81" w:rsidRDefault="00613D81" w:rsidP="0063032F">
      <w:pPr>
        <w:shd w:val="clear" w:color="auto" w:fill="FFFFFF"/>
        <w:spacing w:after="100" w:afterAutospacing="1" w:line="240" w:lineRule="auto"/>
        <w:jc w:val="both"/>
      </w:pPr>
      <w:r w:rsidRPr="00613D81">
        <w:t>La mise à disposition des moyens est toujours conditionnée à la disponibilité de ceux-ci. La Zone de secours ne peut garantir leur présence si les moyens sont déjà requis en intervention. Les moyens peuvent ne plus être mis à disposition « privative » en regard de la protection d’intérêts supérieurs.</w:t>
      </w:r>
    </w:p>
    <w:p w14:paraId="3295F732" w14:textId="77777777" w:rsidR="00613D81" w:rsidRPr="00613D81" w:rsidRDefault="00613D81" w:rsidP="0063032F">
      <w:pPr>
        <w:shd w:val="clear" w:color="auto" w:fill="FFFFFF"/>
        <w:spacing w:after="100" w:afterAutospacing="1" w:line="240" w:lineRule="auto"/>
        <w:jc w:val="both"/>
      </w:pPr>
      <w:r w:rsidRPr="00613D81">
        <w:t> Les moyens présents pourraient quitter le dispositif préventif uniquement en cas de force majeure afin de se rendre en mission. Dans cette hypothèse, la facturation sera réduite au prorata des heures prestées.</w:t>
      </w:r>
    </w:p>
    <w:p w14:paraId="3E390584" w14:textId="7463952C" w:rsidR="00613D81" w:rsidRPr="00613D81" w:rsidRDefault="00613D81" w:rsidP="0063032F">
      <w:pPr>
        <w:shd w:val="clear" w:color="auto" w:fill="FFFFFF"/>
        <w:spacing w:after="100" w:afterAutospacing="1" w:line="240" w:lineRule="auto"/>
        <w:jc w:val="both"/>
      </w:pPr>
      <w:r w:rsidRPr="00613D81">
        <w:t xml:space="preserve"> Dans certaines situations spécifiques, les éventuels consommables utilisés (extincteurs, etc.) seront facturés suivant les barèmes du Règlement de facturation de la Zone de secours </w:t>
      </w:r>
      <w:r>
        <w:t>Dinaphi.</w:t>
      </w:r>
    </w:p>
    <w:p w14:paraId="2C957651" w14:textId="77777777" w:rsidR="00613D81" w:rsidRPr="00613D81" w:rsidRDefault="00613D81" w:rsidP="0063032F">
      <w:pPr>
        <w:shd w:val="clear" w:color="auto" w:fill="FFFFFF"/>
        <w:spacing w:after="100" w:afterAutospacing="1" w:line="240" w:lineRule="auto"/>
        <w:jc w:val="both"/>
      </w:pPr>
      <w:r w:rsidRPr="00613D81">
        <w:t> La présence du dispositif préventif ne libère pas l’organisateur de l’obligation de respecter l’avis de sécurité.</w:t>
      </w:r>
    </w:p>
    <w:p w14:paraId="4EF9627E" w14:textId="16466CE3" w:rsidR="00613D81" w:rsidRPr="00AB6090" w:rsidRDefault="00613D81" w:rsidP="0063032F">
      <w:pPr>
        <w:jc w:val="both"/>
      </w:pPr>
    </w:p>
    <w:p w14:paraId="5FD68D11" w14:textId="77777777" w:rsidR="007F3AAF" w:rsidRPr="00AB6090" w:rsidRDefault="007F3AAF" w:rsidP="0063032F">
      <w:pPr>
        <w:jc w:val="both"/>
      </w:pPr>
    </w:p>
    <w:p w14:paraId="44EEB7BE" w14:textId="77777777" w:rsidR="007F3AAF" w:rsidRPr="00AB6090" w:rsidRDefault="007F3AAF" w:rsidP="0063032F">
      <w:pPr>
        <w:jc w:val="both"/>
      </w:pPr>
    </w:p>
    <w:p w14:paraId="150BC373" w14:textId="77777777" w:rsidR="007F3AAF" w:rsidRPr="00AB6090" w:rsidRDefault="007F3AAF" w:rsidP="0063032F">
      <w:pPr>
        <w:jc w:val="both"/>
      </w:pPr>
    </w:p>
    <w:p w14:paraId="7F55DAEE" w14:textId="77777777" w:rsidR="007F3AAF" w:rsidRPr="00AB6090" w:rsidRDefault="007F3AAF" w:rsidP="0063032F">
      <w:pPr>
        <w:jc w:val="both"/>
      </w:pPr>
    </w:p>
    <w:p w14:paraId="1BBCD998" w14:textId="77777777" w:rsidR="007F3AAF" w:rsidRDefault="007F3AAF" w:rsidP="0063032F">
      <w:pPr>
        <w:jc w:val="both"/>
      </w:pPr>
    </w:p>
    <w:p w14:paraId="3EC644FD" w14:textId="77777777" w:rsidR="002126C4" w:rsidRDefault="002126C4" w:rsidP="0063032F">
      <w:pPr>
        <w:jc w:val="both"/>
      </w:pPr>
    </w:p>
    <w:p w14:paraId="575164F1" w14:textId="77777777" w:rsidR="002126C4" w:rsidRDefault="002126C4" w:rsidP="0063032F">
      <w:pPr>
        <w:jc w:val="both"/>
      </w:pPr>
    </w:p>
    <w:p w14:paraId="689A52E1" w14:textId="77777777" w:rsidR="002126C4" w:rsidRDefault="002126C4" w:rsidP="0063032F">
      <w:pPr>
        <w:jc w:val="both"/>
      </w:pPr>
    </w:p>
    <w:p w14:paraId="036A8012" w14:textId="77777777" w:rsidR="002126C4" w:rsidRDefault="002126C4" w:rsidP="0063032F">
      <w:pPr>
        <w:jc w:val="both"/>
      </w:pPr>
    </w:p>
    <w:p w14:paraId="27BFEF75" w14:textId="77777777" w:rsidR="002126C4" w:rsidRDefault="002126C4" w:rsidP="0063032F">
      <w:pPr>
        <w:jc w:val="both"/>
      </w:pPr>
    </w:p>
    <w:p w14:paraId="095228D5" w14:textId="77777777" w:rsidR="002126C4" w:rsidRDefault="002126C4" w:rsidP="0063032F">
      <w:pPr>
        <w:jc w:val="both"/>
      </w:pPr>
    </w:p>
    <w:p w14:paraId="2FF5383D" w14:textId="77777777" w:rsidR="002126C4" w:rsidRDefault="002126C4" w:rsidP="0063032F">
      <w:pPr>
        <w:jc w:val="both"/>
      </w:pPr>
    </w:p>
    <w:p w14:paraId="6D7B5339" w14:textId="77777777" w:rsidR="002126C4" w:rsidRPr="00AB6090" w:rsidRDefault="002126C4" w:rsidP="0063032F">
      <w:pPr>
        <w:jc w:val="both"/>
      </w:pPr>
    </w:p>
    <w:p w14:paraId="36F45CE2" w14:textId="77777777" w:rsidR="007F3AAF" w:rsidRPr="00AB6090" w:rsidRDefault="007F3AAF" w:rsidP="0063032F">
      <w:pPr>
        <w:jc w:val="both"/>
      </w:pPr>
    </w:p>
    <w:p w14:paraId="1AB45664" w14:textId="77777777" w:rsidR="007F3AAF" w:rsidRPr="002126C4" w:rsidRDefault="007F3AAF" w:rsidP="0063032F">
      <w:pPr>
        <w:jc w:val="both"/>
        <w:rPr>
          <w:i/>
        </w:rPr>
      </w:pPr>
      <w:r w:rsidRPr="002126C4">
        <w:rPr>
          <w:i/>
        </w:rPr>
        <w:t>Approuvée par le C</w:t>
      </w:r>
      <w:r w:rsidR="001E61BA" w:rsidRPr="002126C4">
        <w:rPr>
          <w:i/>
        </w:rPr>
        <w:t>ollège</w:t>
      </w:r>
      <w:r w:rsidRPr="002126C4">
        <w:rPr>
          <w:i/>
        </w:rPr>
        <w:t xml:space="preserve"> de la Zone de Secours en date du</w:t>
      </w:r>
      <w:r w:rsidR="001E61BA" w:rsidRPr="002126C4">
        <w:rPr>
          <w:i/>
        </w:rPr>
        <w:t xml:space="preserve"> 2</w:t>
      </w:r>
      <w:r w:rsidR="0091104E" w:rsidRPr="002126C4">
        <w:rPr>
          <w:i/>
        </w:rPr>
        <w:t>3</w:t>
      </w:r>
      <w:r w:rsidR="001E61BA" w:rsidRPr="002126C4">
        <w:rPr>
          <w:i/>
        </w:rPr>
        <w:t>/1</w:t>
      </w:r>
      <w:r w:rsidR="0091104E" w:rsidRPr="002126C4">
        <w:rPr>
          <w:i/>
        </w:rPr>
        <w:t>1</w:t>
      </w:r>
      <w:r w:rsidR="001E61BA" w:rsidRPr="002126C4">
        <w:rPr>
          <w:i/>
        </w:rPr>
        <w:t>/2018</w:t>
      </w:r>
    </w:p>
    <w:p w14:paraId="1362FDC4" w14:textId="77777777" w:rsidR="0053673F" w:rsidRPr="002126C4" w:rsidRDefault="007F3AAF" w:rsidP="0063032F">
      <w:pPr>
        <w:jc w:val="both"/>
        <w:rPr>
          <w:i/>
        </w:rPr>
      </w:pPr>
      <w:r w:rsidRPr="002126C4">
        <w:rPr>
          <w:i/>
        </w:rPr>
        <w:t>Informations susceptibles d'évoluer.</w:t>
      </w:r>
    </w:p>
    <w:p w14:paraId="682D8BD0" w14:textId="13EC72E9" w:rsidR="00385033" w:rsidRPr="00AB6090" w:rsidRDefault="00385033" w:rsidP="0063032F">
      <w:pPr>
        <w:jc w:val="both"/>
      </w:pPr>
    </w:p>
    <w:sectPr w:rsidR="00385033" w:rsidRPr="00AB6090" w:rsidSect="00876FBA">
      <w:headerReference w:type="default" r:id="rId20"/>
      <w:footerReference w:type="default" r:id="rId21"/>
      <w:pgSz w:w="11906" w:h="16838" w:code="9"/>
      <w:pgMar w:top="720" w:right="566"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404D0" w14:textId="77777777" w:rsidR="0063032F" w:rsidRDefault="0063032F" w:rsidP="00C5038D">
      <w:pPr>
        <w:spacing w:after="0" w:line="240" w:lineRule="auto"/>
      </w:pPr>
      <w:r>
        <w:separator/>
      </w:r>
    </w:p>
  </w:endnote>
  <w:endnote w:type="continuationSeparator" w:id="0">
    <w:p w14:paraId="577FD596" w14:textId="77777777" w:rsidR="0063032F" w:rsidRDefault="0063032F" w:rsidP="00C50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UI Semibold">
    <w:panose1 w:val="020B0700000000000000"/>
    <w:charset w:val="80"/>
    <w:family w:val="swiss"/>
    <w:pitch w:val="variable"/>
    <w:sig w:usb0="E00002FF" w:usb1="2AC7FDFF" w:usb2="00000016" w:usb3="00000000" w:csb0="0002009F" w:csb1="00000000"/>
  </w:font>
  <w:font w:name="PMingLiU-ExtB">
    <w:panose1 w:val="02020500000000000000"/>
    <w:charset w:val="88"/>
    <w:family w:val="roman"/>
    <w:pitch w:val="variable"/>
    <w:sig w:usb0="8000002F" w:usb1="0A080008" w:usb2="00000010" w:usb3="00000000" w:csb0="00100001" w:csb1="00000000"/>
  </w:font>
  <w:font w:name="ZWAdobeF">
    <w:altName w:val="Calibri"/>
    <w:charset w:val="00"/>
    <w:family w:val="auto"/>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AA4C" w14:textId="483F8805" w:rsidR="0063032F" w:rsidRDefault="0063032F">
    <w:pPr>
      <w:pStyle w:val="Pieddepage"/>
    </w:pPr>
    <w:r>
      <w:t xml:space="preserve">Zone de Secours </w:t>
    </w:r>
    <w:proofErr w:type="spellStart"/>
    <w:r>
      <w:t>Dinaphi</w:t>
    </w:r>
    <w:proofErr w:type="spellEnd"/>
    <w:r>
      <w:ptab w:relativeTo="margin" w:alignment="center" w:leader="none"/>
    </w:r>
    <w:r>
      <w:t>Novembre 2020</w:t>
    </w:r>
    <w:r>
      <w:ptab w:relativeTo="margin" w:alignment="right" w:leader="none"/>
    </w:r>
    <w:r>
      <w:t>Recommandations de sécurité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D0D07" w14:textId="77777777" w:rsidR="0063032F" w:rsidRDefault="0063032F" w:rsidP="00C5038D">
      <w:pPr>
        <w:spacing w:after="0" w:line="240" w:lineRule="auto"/>
      </w:pPr>
      <w:r>
        <w:separator/>
      </w:r>
    </w:p>
  </w:footnote>
  <w:footnote w:type="continuationSeparator" w:id="0">
    <w:p w14:paraId="25C74541" w14:textId="77777777" w:rsidR="0063032F" w:rsidRDefault="0063032F" w:rsidP="00C5038D">
      <w:pPr>
        <w:spacing w:after="0" w:line="240" w:lineRule="auto"/>
      </w:pPr>
      <w:r>
        <w:continuationSeparator/>
      </w:r>
    </w:p>
  </w:footnote>
  <w:footnote w:id="1">
    <w:p w14:paraId="2892DC62" w14:textId="77777777" w:rsidR="0063032F" w:rsidRPr="002C2E9E" w:rsidRDefault="0063032F">
      <w:pPr>
        <w:pStyle w:val="Notedebasdepage"/>
        <w:rPr>
          <w:i/>
          <w:lang w:val="fr-BE"/>
        </w:rPr>
      </w:pPr>
      <w:r w:rsidRPr="002C2E9E">
        <w:rPr>
          <w:rStyle w:val="Appelnotedebasdep"/>
          <w:i/>
          <w:sz w:val="18"/>
        </w:rPr>
        <w:footnoteRef/>
      </w:r>
      <w:r w:rsidRPr="002C2E9E">
        <w:rPr>
          <w:i/>
          <w:sz w:val="18"/>
        </w:rPr>
        <w:t xml:space="preserve"> </w:t>
      </w:r>
      <w:proofErr w:type="spellStart"/>
      <w:r w:rsidRPr="002C2E9E">
        <w:rPr>
          <w:i/>
          <w:sz w:val="18"/>
          <w:lang w:val="fr-BE"/>
        </w:rPr>
        <w:t>Circul.minist</w:t>
      </w:r>
      <w:proofErr w:type="spellEnd"/>
      <w:r w:rsidRPr="002C2E9E">
        <w:rPr>
          <w:i/>
          <w:sz w:val="18"/>
          <w:lang w:val="fr-BE"/>
        </w:rPr>
        <w:t>. OOP41 du 31/03/2014, concernant l’opérationnalisation du cadre de référence CP4 relatif à la gestion négociée de l’espace public relativement aux événements touchant à l’ordre public. M.B. du 15/05/2014</w:t>
      </w:r>
    </w:p>
  </w:footnote>
  <w:footnote w:id="2">
    <w:p w14:paraId="251D6A21" w14:textId="77777777" w:rsidR="0063032F" w:rsidRPr="00B56001" w:rsidRDefault="0063032F">
      <w:pPr>
        <w:pStyle w:val="Notedebasdepage"/>
        <w:rPr>
          <w:lang w:val="fr-BE"/>
        </w:rPr>
      </w:pPr>
      <w:r>
        <w:rPr>
          <w:rStyle w:val="Appelnotedebasdep"/>
        </w:rPr>
        <w:footnoteRef/>
      </w:r>
      <w:r>
        <w:t xml:space="preserve"> </w:t>
      </w:r>
      <w:r w:rsidRPr="00B56001">
        <w:t>Selon un courrier adressé par le SPF Economie aux Bourgmestres en date du 17/10/2012 et ayant pour objet les tirs de feux d’artifice – impositions légales et consignes de sécurité.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144482"/>
      <w:docPartObj>
        <w:docPartGallery w:val="Page Numbers (Margins)"/>
        <w:docPartUnique/>
      </w:docPartObj>
    </w:sdtPr>
    <w:sdtEndPr/>
    <w:sdtContent>
      <w:p w14:paraId="383C3F0E" w14:textId="77777777" w:rsidR="0063032F" w:rsidRPr="00C0778F" w:rsidRDefault="0063032F" w:rsidP="00C0778F">
        <w:pPr>
          <w:pStyle w:val="En-tte"/>
        </w:pPr>
        <w:r>
          <w:rPr>
            <w:noProof/>
            <w:lang w:val="fr-BE" w:eastAsia="fr-BE"/>
          </w:rPr>
          <mc:AlternateContent>
            <mc:Choice Requires="wps">
              <w:drawing>
                <wp:anchor distT="0" distB="0" distL="114300" distR="114300" simplePos="0" relativeHeight="251659264" behindDoc="0" locked="0" layoutInCell="0" allowOverlap="1" wp14:anchorId="6CD7B15B" wp14:editId="29BBE6D2">
                  <wp:simplePos x="0" y="0"/>
                  <wp:positionH relativeFrom="rightMargin">
                    <wp:align>center</wp:align>
                  </wp:positionH>
                  <wp:positionV relativeFrom="margin">
                    <wp:align>top</wp:align>
                  </wp:positionV>
                  <wp:extent cx="581025" cy="409575"/>
                  <wp:effectExtent l="9525" t="0" r="0" b="0"/>
                  <wp:wrapNone/>
                  <wp:docPr id="13" name="Flèche droit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0270BA1C" w14:textId="77777777" w:rsidR="0063032F" w:rsidRDefault="0063032F">
                              <w:pPr>
                                <w:pStyle w:val="Pieddepage"/>
                                <w:jc w:val="center"/>
                                <w:rPr>
                                  <w:color w:val="FFFFFF" w:themeColor="background1"/>
                                </w:rPr>
                              </w:pPr>
                              <w:r>
                                <w:rPr>
                                  <w:color w:val="auto"/>
                                </w:rPr>
                                <w:fldChar w:fldCharType="begin"/>
                              </w:r>
                              <w:r>
                                <w:instrText>PAGE   \* MERGEFORMAT</w:instrText>
                              </w:r>
                              <w:r>
                                <w:rPr>
                                  <w:color w:val="auto"/>
                                </w:rPr>
                                <w:fldChar w:fldCharType="separate"/>
                              </w:r>
                              <w:r w:rsidR="00B254CB" w:rsidRPr="00B254CB">
                                <w:rPr>
                                  <w:noProof/>
                                  <w:color w:val="FFFFFF" w:themeColor="background1"/>
                                </w:rPr>
                                <w:t>32</w:t>
                              </w:r>
                              <w:r>
                                <w:rPr>
                                  <w:color w:val="FFFFFF" w:themeColor="background1"/>
                                </w:rPr>
                                <w:fldChar w:fldCharType="end"/>
                              </w:r>
                            </w:p>
                            <w:p w14:paraId="39A08057" w14:textId="77777777" w:rsidR="0063032F" w:rsidRDefault="0063032F"/>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6CD7B1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3" o:spid="_x0000_s1026" type="#_x0000_t13" style="position:absolute;margin-left:0;margin-top:0;width:45.75pt;height:32.25pt;rotation:180;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" o:allowincell="f" adj="13609,5370" fillcolor="#c0504d" stroked="f" strokecolor="#5c83b4">
                  <v:textbox inset=",0,,0">
                    <w:txbxContent>
                      <w:p w14:paraId="0270BA1C" w14:textId="77777777" w:rsidR="0063032F" w:rsidRDefault="0063032F">
                        <w:pPr>
                          <w:pStyle w:val="Pieddepage"/>
                          <w:jc w:val="center"/>
                          <w:rPr>
                            <w:color w:val="FFFFFF" w:themeColor="background1"/>
                          </w:rPr>
                        </w:pPr>
                        <w:r>
                          <w:rPr>
                            <w:color w:val="auto"/>
                          </w:rPr>
                          <w:fldChar w:fldCharType="begin"/>
                        </w:r>
                        <w:r>
                          <w:instrText>PAGE   \* MERGEFORMAT</w:instrText>
                        </w:r>
                        <w:r>
                          <w:rPr>
                            <w:color w:val="auto"/>
                          </w:rPr>
                          <w:fldChar w:fldCharType="separate"/>
                        </w:r>
                        <w:r w:rsidR="00B254CB" w:rsidRPr="00B254CB">
                          <w:rPr>
                            <w:noProof/>
                            <w:color w:val="FFFFFF" w:themeColor="background1"/>
                          </w:rPr>
                          <w:t>32</w:t>
                        </w:r>
                        <w:r>
                          <w:rPr>
                            <w:color w:val="FFFFFF" w:themeColor="background1"/>
                          </w:rPr>
                          <w:fldChar w:fldCharType="end"/>
                        </w:r>
                      </w:p>
                      <w:p w14:paraId="39A08057" w14:textId="77777777" w:rsidR="0063032F" w:rsidRDefault="0063032F"/>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5E3F8A"/>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AA10D380"/>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AFA249D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B0AE74C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7A00E342"/>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DC3130"/>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C20CDE"/>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ECABD6"/>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D84D3F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F9A25DB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3172B3A"/>
    <w:multiLevelType w:val="hybridMultilevel"/>
    <w:tmpl w:val="28140506"/>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2C5139"/>
    <w:multiLevelType w:val="hybridMultilevel"/>
    <w:tmpl w:val="7AAA5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45A242D"/>
    <w:multiLevelType w:val="hybridMultilevel"/>
    <w:tmpl w:val="F5F8F20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055F4A16"/>
    <w:multiLevelType w:val="hybridMultilevel"/>
    <w:tmpl w:val="F9D05636"/>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0CA83424"/>
    <w:multiLevelType w:val="hybridMultilevel"/>
    <w:tmpl w:val="1EFE805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E3E0C44"/>
    <w:multiLevelType w:val="hybridMultilevel"/>
    <w:tmpl w:val="57D855B8"/>
    <w:lvl w:ilvl="0" w:tplc="66A6745A">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0E810D35"/>
    <w:multiLevelType w:val="hybridMultilevel"/>
    <w:tmpl w:val="D91A703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F6D0827"/>
    <w:multiLevelType w:val="hybridMultilevel"/>
    <w:tmpl w:val="C132235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0571EBD"/>
    <w:multiLevelType w:val="hybridMultilevel"/>
    <w:tmpl w:val="BB14828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10AA7AD7"/>
    <w:multiLevelType w:val="hybridMultilevel"/>
    <w:tmpl w:val="9B580F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3142D1B"/>
    <w:multiLevelType w:val="hybridMultilevel"/>
    <w:tmpl w:val="556CA8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3E434E1"/>
    <w:multiLevelType w:val="hybridMultilevel"/>
    <w:tmpl w:val="1AE0812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15162B79"/>
    <w:multiLevelType w:val="hybridMultilevel"/>
    <w:tmpl w:val="FF9E0F9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6921BF5"/>
    <w:multiLevelType w:val="hybridMultilevel"/>
    <w:tmpl w:val="79AC59C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9B20742"/>
    <w:multiLevelType w:val="hybridMultilevel"/>
    <w:tmpl w:val="2B024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B042D56"/>
    <w:multiLevelType w:val="hybridMultilevel"/>
    <w:tmpl w:val="DE88B84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E5AD5"/>
    <w:multiLevelType w:val="hybridMultilevel"/>
    <w:tmpl w:val="D6FAE2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F6D4A12"/>
    <w:multiLevelType w:val="hybridMultilevel"/>
    <w:tmpl w:val="091E19C0"/>
    <w:lvl w:ilvl="0" w:tplc="048A993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20034D74"/>
    <w:multiLevelType w:val="hybridMultilevel"/>
    <w:tmpl w:val="0BC4D8E6"/>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23A82EA2"/>
    <w:multiLevelType w:val="hybridMultilevel"/>
    <w:tmpl w:val="7016621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42C7118"/>
    <w:multiLevelType w:val="hybridMultilevel"/>
    <w:tmpl w:val="042AFF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9571986"/>
    <w:multiLevelType w:val="hybridMultilevel"/>
    <w:tmpl w:val="B88097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9D515C0"/>
    <w:multiLevelType w:val="hybridMultilevel"/>
    <w:tmpl w:val="EAB49FA2"/>
    <w:lvl w:ilvl="0" w:tplc="040C0003">
      <w:start w:val="1"/>
      <w:numFmt w:val="bullet"/>
      <w:lvlText w:val="o"/>
      <w:lvlJc w:val="left"/>
      <w:pPr>
        <w:ind w:left="720" w:hanging="360"/>
      </w:pPr>
      <w:rPr>
        <w:rFonts w:ascii="Courier New" w:hAnsi="Courier New" w:cs="Courier New"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C49169A"/>
    <w:multiLevelType w:val="hybridMultilevel"/>
    <w:tmpl w:val="7AC8E04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E6A4669"/>
    <w:multiLevelType w:val="hybridMultilevel"/>
    <w:tmpl w:val="B730651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FF32F2F"/>
    <w:multiLevelType w:val="hybridMultilevel"/>
    <w:tmpl w:val="ACD016F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33952022"/>
    <w:multiLevelType w:val="hybridMultilevel"/>
    <w:tmpl w:val="F530F32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341B37F4"/>
    <w:multiLevelType w:val="multilevel"/>
    <w:tmpl w:val="251E55B6"/>
    <w:lvl w:ilvl="0">
      <w:start w:val="1"/>
      <w:numFmt w:val="decimal"/>
      <w:lvlText w:val="%1."/>
      <w:lvlJc w:val="left"/>
      <w:pPr>
        <w:ind w:left="720" w:hanging="360"/>
      </w:pPr>
      <w:rPr>
        <w:rFonts w:hint="default"/>
      </w:rPr>
    </w:lvl>
    <w:lvl w:ilvl="1">
      <w:start w:val="1"/>
      <w:numFmt w:val="upperLetter"/>
      <w:lvlText w:val="%2."/>
      <w:lvlJc w:val="left"/>
      <w:pPr>
        <w:ind w:left="1236"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36D70AA4"/>
    <w:multiLevelType w:val="hybridMultilevel"/>
    <w:tmpl w:val="C9E01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36F33EFB"/>
    <w:multiLevelType w:val="multilevel"/>
    <w:tmpl w:val="1C8EF3A8"/>
    <w:lvl w:ilvl="0">
      <w:start w:val="1"/>
      <w:numFmt w:val="decimal"/>
      <w:lvlText w:val="%1."/>
      <w:lvlJc w:val="left"/>
      <w:pPr>
        <w:ind w:left="720" w:hanging="360"/>
      </w:pPr>
      <w:rPr>
        <w:rFonts w:hint="default"/>
      </w:rPr>
    </w:lvl>
    <w:lvl w:ilvl="1">
      <w:start w:val="1"/>
      <w:numFmt w:val="upperLetter"/>
      <w:pStyle w:val="Style2"/>
      <w:lvlText w:val="%2."/>
      <w:lvlJc w:val="left"/>
      <w:pPr>
        <w:ind w:left="1236" w:hanging="38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upperLetter"/>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389A1CB4"/>
    <w:multiLevelType w:val="hybridMultilevel"/>
    <w:tmpl w:val="C8A02B1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3AB86045"/>
    <w:multiLevelType w:val="multilevel"/>
    <w:tmpl w:val="C68A3948"/>
    <w:lvl w:ilvl="0">
      <w:start w:val="3"/>
      <w:numFmt w:val="decimal"/>
      <w:lvlText w:val="%1."/>
      <w:lvlJc w:val="left"/>
      <w:pPr>
        <w:ind w:left="720" w:hanging="360"/>
      </w:pPr>
      <w:rPr>
        <w:rFonts w:hint="default"/>
      </w:rPr>
    </w:lvl>
    <w:lvl w:ilvl="1">
      <w:start w:val="1"/>
      <w:numFmt w:val="upperLetter"/>
      <w:lvlText w:val="%2."/>
      <w:lvlJc w:val="left"/>
      <w:pPr>
        <w:ind w:left="1236" w:hanging="384"/>
      </w:pPr>
      <w:rPr>
        <w:rFonts w:hint="default"/>
      </w:rPr>
    </w:lvl>
    <w:lvl w:ilvl="2">
      <w:start w:val="1"/>
      <w:numFmt w:val="decimal"/>
      <w:isLgl/>
      <w:lvlText w:val="%1.%2.%3"/>
      <w:lvlJc w:val="left"/>
      <w:pPr>
        <w:ind w:left="1080" w:hanging="720"/>
      </w:pPr>
      <w:rPr>
        <w:rFonts w:hint="default"/>
      </w:rPr>
    </w:lvl>
    <w:lvl w:ilvl="3">
      <w:start w:val="1"/>
      <w:numFmt w:val="upperLetter"/>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3BE87718"/>
    <w:multiLevelType w:val="multilevel"/>
    <w:tmpl w:val="38604572"/>
    <w:lvl w:ilvl="0">
      <w:start w:val="5"/>
      <w:numFmt w:val="decimal"/>
      <w:lvlText w:val="%1."/>
      <w:lvlJc w:val="left"/>
      <w:pPr>
        <w:ind w:left="720" w:hanging="360"/>
      </w:pPr>
      <w:rPr>
        <w:rFonts w:hint="default"/>
      </w:rPr>
    </w:lvl>
    <w:lvl w:ilvl="1">
      <w:start w:val="1"/>
      <w:numFmt w:val="upperLetter"/>
      <w:lvlText w:val="%2."/>
      <w:lvlJc w:val="left"/>
      <w:pPr>
        <w:ind w:left="1236"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3C9C7FB1"/>
    <w:multiLevelType w:val="hybridMultilevel"/>
    <w:tmpl w:val="DD1CF68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3CC8776E"/>
    <w:multiLevelType w:val="hybridMultilevel"/>
    <w:tmpl w:val="DAC08E74"/>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3CD86E3F"/>
    <w:multiLevelType w:val="hybridMultilevel"/>
    <w:tmpl w:val="5A7CB21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D326D9A"/>
    <w:multiLevelType w:val="hybridMultilevel"/>
    <w:tmpl w:val="FE4E8C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D3C6670"/>
    <w:multiLevelType w:val="hybridMultilevel"/>
    <w:tmpl w:val="50D6736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3FA432F6"/>
    <w:multiLevelType w:val="hybridMultilevel"/>
    <w:tmpl w:val="AABC7CD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404D172F"/>
    <w:multiLevelType w:val="multilevel"/>
    <w:tmpl w:val="436E24C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upp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419709FE"/>
    <w:multiLevelType w:val="hybridMultilevel"/>
    <w:tmpl w:val="E79E22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42DD4F79"/>
    <w:multiLevelType w:val="hybridMultilevel"/>
    <w:tmpl w:val="1E340CF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44EE1876"/>
    <w:multiLevelType w:val="hybridMultilevel"/>
    <w:tmpl w:val="3A0C2DF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46434703"/>
    <w:multiLevelType w:val="hybridMultilevel"/>
    <w:tmpl w:val="217045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9F75D3E"/>
    <w:multiLevelType w:val="hybridMultilevel"/>
    <w:tmpl w:val="CB94684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5" w15:restartNumberingAfterBreak="0">
    <w:nsid w:val="4DC11B6A"/>
    <w:multiLevelType w:val="hybridMultilevel"/>
    <w:tmpl w:val="BBA4FF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50AE7BBF"/>
    <w:multiLevelType w:val="hybridMultilevel"/>
    <w:tmpl w:val="43F8DFA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51061646"/>
    <w:multiLevelType w:val="multilevel"/>
    <w:tmpl w:val="B0FEB208"/>
    <w:lvl w:ilvl="0">
      <w:start w:val="1"/>
      <w:numFmt w:val="decimal"/>
      <w:lvlText w:val="%1."/>
      <w:lvlJc w:val="left"/>
      <w:pPr>
        <w:ind w:left="720" w:hanging="360"/>
      </w:pPr>
      <w:rPr>
        <w:rFonts w:hint="default"/>
      </w:rPr>
    </w:lvl>
    <w:lvl w:ilvl="1">
      <w:start w:val="9"/>
      <w:numFmt w:val="decimal"/>
      <w:isLgl/>
      <w:lvlText w:val="%1.%2"/>
      <w:lvlJc w:val="left"/>
      <w:pPr>
        <w:ind w:left="1242" w:hanging="390"/>
      </w:pPr>
      <w:rPr>
        <w:rFonts w:hint="default"/>
      </w:rPr>
    </w:lvl>
    <w:lvl w:ilvl="2">
      <w:start w:val="1"/>
      <w:numFmt w:val="decimal"/>
      <w:isLgl/>
      <w:lvlText w:val="%1.%2.%3"/>
      <w:lvlJc w:val="left"/>
      <w:pPr>
        <w:ind w:left="2064" w:hanging="720"/>
      </w:pPr>
      <w:rPr>
        <w:rFonts w:hint="default"/>
      </w:rPr>
    </w:lvl>
    <w:lvl w:ilvl="3">
      <w:start w:val="1"/>
      <w:numFmt w:val="decimal"/>
      <w:isLgl/>
      <w:lvlText w:val="%1.%2.%3.%4"/>
      <w:lvlJc w:val="left"/>
      <w:pPr>
        <w:ind w:left="2916" w:hanging="1080"/>
      </w:pPr>
      <w:rPr>
        <w:rFonts w:hint="default"/>
      </w:rPr>
    </w:lvl>
    <w:lvl w:ilvl="4">
      <w:start w:val="1"/>
      <w:numFmt w:val="decimal"/>
      <w:isLgl/>
      <w:lvlText w:val="%1.%2.%3.%4.%5"/>
      <w:lvlJc w:val="left"/>
      <w:pPr>
        <w:ind w:left="3408" w:hanging="1080"/>
      </w:pPr>
      <w:rPr>
        <w:rFonts w:hint="default"/>
      </w:rPr>
    </w:lvl>
    <w:lvl w:ilvl="5">
      <w:start w:val="1"/>
      <w:numFmt w:val="decimal"/>
      <w:isLgl/>
      <w:lvlText w:val="%1.%2.%3.%4.%5.%6"/>
      <w:lvlJc w:val="left"/>
      <w:pPr>
        <w:ind w:left="4260" w:hanging="1440"/>
      </w:pPr>
      <w:rPr>
        <w:rFonts w:hint="default"/>
      </w:rPr>
    </w:lvl>
    <w:lvl w:ilvl="6">
      <w:start w:val="1"/>
      <w:numFmt w:val="decimal"/>
      <w:isLgl/>
      <w:lvlText w:val="%1.%2.%3.%4.%5.%6.%7"/>
      <w:lvlJc w:val="left"/>
      <w:pPr>
        <w:ind w:left="4752" w:hanging="1440"/>
      </w:pPr>
      <w:rPr>
        <w:rFonts w:hint="default"/>
      </w:rPr>
    </w:lvl>
    <w:lvl w:ilvl="7">
      <w:start w:val="1"/>
      <w:numFmt w:val="decimal"/>
      <w:isLgl/>
      <w:lvlText w:val="%1.%2.%3.%4.%5.%6.%7.%8"/>
      <w:lvlJc w:val="left"/>
      <w:pPr>
        <w:ind w:left="5604" w:hanging="1800"/>
      </w:pPr>
      <w:rPr>
        <w:rFonts w:hint="default"/>
      </w:rPr>
    </w:lvl>
    <w:lvl w:ilvl="8">
      <w:start w:val="1"/>
      <w:numFmt w:val="decimal"/>
      <w:isLgl/>
      <w:lvlText w:val="%1.%2.%3.%4.%5.%6.%7.%8.%9"/>
      <w:lvlJc w:val="left"/>
      <w:pPr>
        <w:ind w:left="6456" w:hanging="2160"/>
      </w:pPr>
      <w:rPr>
        <w:rFonts w:hint="default"/>
      </w:rPr>
    </w:lvl>
  </w:abstractNum>
  <w:abstractNum w:abstractNumId="58" w15:restartNumberingAfterBreak="0">
    <w:nsid w:val="53A95359"/>
    <w:multiLevelType w:val="hybridMultilevel"/>
    <w:tmpl w:val="7C5403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57FD3A83"/>
    <w:multiLevelType w:val="hybridMultilevel"/>
    <w:tmpl w:val="06380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5B5C3229"/>
    <w:multiLevelType w:val="hybridMultilevel"/>
    <w:tmpl w:val="E7B21586"/>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1" w15:restartNumberingAfterBreak="0">
    <w:nsid w:val="5B7C6143"/>
    <w:multiLevelType w:val="hybridMultilevel"/>
    <w:tmpl w:val="31723FA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5B853D36"/>
    <w:multiLevelType w:val="hybridMultilevel"/>
    <w:tmpl w:val="F042B32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66286279"/>
    <w:multiLevelType w:val="hybridMultilevel"/>
    <w:tmpl w:val="21D2EDF4"/>
    <w:lvl w:ilvl="0" w:tplc="A386B576">
      <w:start w:val="3"/>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66B50A38"/>
    <w:multiLevelType w:val="hybridMultilevel"/>
    <w:tmpl w:val="59625E24"/>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67992ECA"/>
    <w:multiLevelType w:val="hybridMultilevel"/>
    <w:tmpl w:val="78002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67A90267"/>
    <w:multiLevelType w:val="hybridMultilevel"/>
    <w:tmpl w:val="B68A5A8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68556332"/>
    <w:multiLevelType w:val="hybridMultilevel"/>
    <w:tmpl w:val="4F3C04F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8" w15:restartNumberingAfterBreak="0">
    <w:nsid w:val="69510B66"/>
    <w:multiLevelType w:val="hybridMultilevel"/>
    <w:tmpl w:val="03A675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6BA97AAC"/>
    <w:multiLevelType w:val="hybridMultilevel"/>
    <w:tmpl w:val="74183FC6"/>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0" w15:restartNumberingAfterBreak="0">
    <w:nsid w:val="6BD1062B"/>
    <w:multiLevelType w:val="hybridMultilevel"/>
    <w:tmpl w:val="9A9A6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6DF93F2D"/>
    <w:multiLevelType w:val="hybridMultilevel"/>
    <w:tmpl w:val="DA86C4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734571F7"/>
    <w:multiLevelType w:val="hybridMultilevel"/>
    <w:tmpl w:val="B2AE4B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768D53B2"/>
    <w:multiLevelType w:val="hybridMultilevel"/>
    <w:tmpl w:val="31BE9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77605E98"/>
    <w:multiLevelType w:val="hybridMultilevel"/>
    <w:tmpl w:val="8A5A0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0447231">
    <w:abstractNumId w:val="9"/>
  </w:num>
  <w:num w:numId="2" w16cid:durableId="1500073057">
    <w:abstractNumId w:val="7"/>
  </w:num>
  <w:num w:numId="3" w16cid:durableId="429395595">
    <w:abstractNumId w:val="6"/>
  </w:num>
  <w:num w:numId="4" w16cid:durableId="1190098487">
    <w:abstractNumId w:val="5"/>
  </w:num>
  <w:num w:numId="5" w16cid:durableId="1710690598">
    <w:abstractNumId w:val="4"/>
  </w:num>
  <w:num w:numId="6" w16cid:durableId="352272644">
    <w:abstractNumId w:val="8"/>
  </w:num>
  <w:num w:numId="7" w16cid:durableId="496581437">
    <w:abstractNumId w:val="3"/>
  </w:num>
  <w:num w:numId="8" w16cid:durableId="275214669">
    <w:abstractNumId w:val="2"/>
  </w:num>
  <w:num w:numId="9" w16cid:durableId="1006858801">
    <w:abstractNumId w:val="1"/>
  </w:num>
  <w:num w:numId="10" w16cid:durableId="1834221881">
    <w:abstractNumId w:val="0"/>
  </w:num>
  <w:num w:numId="11" w16cid:durableId="1700233124">
    <w:abstractNumId w:val="59"/>
  </w:num>
  <w:num w:numId="12" w16cid:durableId="570964354">
    <w:abstractNumId w:val="55"/>
  </w:num>
  <w:num w:numId="13" w16cid:durableId="640892433">
    <w:abstractNumId w:val="63"/>
  </w:num>
  <w:num w:numId="14" w16cid:durableId="408694437">
    <w:abstractNumId w:val="61"/>
  </w:num>
  <w:num w:numId="15" w16cid:durableId="1166046925">
    <w:abstractNumId w:val="40"/>
  </w:num>
  <w:num w:numId="16" w16cid:durableId="327751177">
    <w:abstractNumId w:val="37"/>
  </w:num>
  <w:num w:numId="17" w16cid:durableId="1671299241">
    <w:abstractNumId w:val="34"/>
  </w:num>
  <w:num w:numId="18" w16cid:durableId="1854804467">
    <w:abstractNumId w:val="16"/>
  </w:num>
  <w:num w:numId="19" w16cid:durableId="1437213391">
    <w:abstractNumId w:val="48"/>
  </w:num>
  <w:num w:numId="20" w16cid:durableId="1281641405">
    <w:abstractNumId w:val="14"/>
  </w:num>
  <w:num w:numId="21" w16cid:durableId="1582911925">
    <w:abstractNumId w:val="17"/>
  </w:num>
  <w:num w:numId="22" w16cid:durableId="934636401">
    <w:abstractNumId w:val="33"/>
  </w:num>
  <w:num w:numId="23" w16cid:durableId="440802360">
    <w:abstractNumId w:val="35"/>
  </w:num>
  <w:num w:numId="24" w16cid:durableId="1636642531">
    <w:abstractNumId w:val="62"/>
  </w:num>
  <w:num w:numId="25" w16cid:durableId="727339585">
    <w:abstractNumId w:val="22"/>
  </w:num>
  <w:num w:numId="26" w16cid:durableId="187761142">
    <w:abstractNumId w:val="56"/>
  </w:num>
  <w:num w:numId="27" w16cid:durableId="1261792086">
    <w:abstractNumId w:val="52"/>
  </w:num>
  <w:num w:numId="28" w16cid:durableId="305011965">
    <w:abstractNumId w:val="29"/>
  </w:num>
  <w:num w:numId="29" w16cid:durableId="400753613">
    <w:abstractNumId w:val="43"/>
  </w:num>
  <w:num w:numId="30" w16cid:durableId="1439565153">
    <w:abstractNumId w:val="45"/>
  </w:num>
  <w:num w:numId="31" w16cid:durableId="647897823">
    <w:abstractNumId w:val="32"/>
  </w:num>
  <w:num w:numId="32" w16cid:durableId="1965576178">
    <w:abstractNumId w:val="64"/>
  </w:num>
  <w:num w:numId="33" w16cid:durableId="68772427">
    <w:abstractNumId w:val="23"/>
  </w:num>
  <w:num w:numId="34" w16cid:durableId="32704286">
    <w:abstractNumId w:val="51"/>
  </w:num>
  <w:num w:numId="35" w16cid:durableId="989746324">
    <w:abstractNumId w:val="25"/>
  </w:num>
  <w:num w:numId="36" w16cid:durableId="1939866897">
    <w:abstractNumId w:val="10"/>
  </w:num>
  <w:num w:numId="37" w16cid:durableId="2032947914">
    <w:abstractNumId w:val="65"/>
  </w:num>
  <w:num w:numId="38" w16cid:durableId="971981583">
    <w:abstractNumId w:val="66"/>
  </w:num>
  <w:num w:numId="39" w16cid:durableId="109672007">
    <w:abstractNumId w:val="68"/>
  </w:num>
  <w:num w:numId="40" w16cid:durableId="1540432192">
    <w:abstractNumId w:val="53"/>
  </w:num>
  <w:num w:numId="41" w16cid:durableId="1192452797">
    <w:abstractNumId w:val="58"/>
  </w:num>
  <w:num w:numId="42" w16cid:durableId="654182547">
    <w:abstractNumId w:val="30"/>
  </w:num>
  <w:num w:numId="43" w16cid:durableId="1333409907">
    <w:abstractNumId w:val="38"/>
  </w:num>
  <w:num w:numId="44" w16cid:durableId="4213667">
    <w:abstractNumId w:val="46"/>
  </w:num>
  <w:num w:numId="45" w16cid:durableId="144857662">
    <w:abstractNumId w:val="74"/>
  </w:num>
  <w:num w:numId="46" w16cid:durableId="2146923461">
    <w:abstractNumId w:val="19"/>
  </w:num>
  <w:num w:numId="47" w16cid:durableId="684597107">
    <w:abstractNumId w:val="11"/>
  </w:num>
  <w:num w:numId="48" w16cid:durableId="1580560384">
    <w:abstractNumId w:val="72"/>
  </w:num>
  <w:num w:numId="49" w16cid:durableId="1419641613">
    <w:abstractNumId w:val="73"/>
  </w:num>
  <w:num w:numId="50" w16cid:durableId="1492790164">
    <w:abstractNumId w:val="50"/>
  </w:num>
  <w:num w:numId="51" w16cid:durableId="994838842">
    <w:abstractNumId w:val="20"/>
  </w:num>
  <w:num w:numId="52" w16cid:durableId="1972976861">
    <w:abstractNumId w:val="26"/>
  </w:num>
  <w:num w:numId="53" w16cid:durableId="1386755951">
    <w:abstractNumId w:val="70"/>
  </w:num>
  <w:num w:numId="54" w16cid:durableId="588392392">
    <w:abstractNumId w:val="31"/>
  </w:num>
  <w:num w:numId="55" w16cid:durableId="555629086">
    <w:abstractNumId w:val="24"/>
  </w:num>
  <w:num w:numId="56" w16cid:durableId="808942445">
    <w:abstractNumId w:val="71"/>
  </w:num>
  <w:num w:numId="57" w16cid:durableId="85152030">
    <w:abstractNumId w:val="13"/>
  </w:num>
  <w:num w:numId="58" w16cid:durableId="1559900409">
    <w:abstractNumId w:val="60"/>
  </w:num>
  <w:num w:numId="59" w16cid:durableId="46151974">
    <w:abstractNumId w:val="28"/>
  </w:num>
  <w:num w:numId="60" w16cid:durableId="3363898">
    <w:abstractNumId w:val="44"/>
  </w:num>
  <w:num w:numId="61" w16cid:durableId="1457335201">
    <w:abstractNumId w:val="69"/>
  </w:num>
  <w:num w:numId="62" w16cid:durableId="1669626478">
    <w:abstractNumId w:val="36"/>
  </w:num>
  <w:num w:numId="63" w16cid:durableId="989361033">
    <w:abstractNumId w:val="57"/>
  </w:num>
  <w:num w:numId="64" w16cid:durableId="1746410668">
    <w:abstractNumId w:val="47"/>
  </w:num>
  <w:num w:numId="65" w16cid:durableId="2124418948">
    <w:abstractNumId w:val="54"/>
  </w:num>
  <w:num w:numId="66" w16cid:durableId="633633126">
    <w:abstractNumId w:val="12"/>
  </w:num>
  <w:num w:numId="67" w16cid:durableId="2108037095">
    <w:abstractNumId w:val="21"/>
  </w:num>
  <w:num w:numId="68" w16cid:durableId="2043938883">
    <w:abstractNumId w:val="18"/>
  </w:num>
  <w:num w:numId="69" w16cid:durableId="256603184">
    <w:abstractNumId w:val="27"/>
  </w:num>
  <w:num w:numId="70" w16cid:durableId="1308321212">
    <w:abstractNumId w:val="41"/>
  </w:num>
  <w:num w:numId="71" w16cid:durableId="28918549">
    <w:abstractNumId w:val="15"/>
  </w:num>
  <w:num w:numId="72" w16cid:durableId="24648111">
    <w:abstractNumId w:val="42"/>
  </w:num>
  <w:num w:numId="73" w16cid:durableId="148181724">
    <w:abstractNumId w:val="49"/>
  </w:num>
  <w:num w:numId="74" w16cid:durableId="121309658">
    <w:abstractNumId w:val="39"/>
  </w:num>
  <w:num w:numId="75" w16cid:durableId="2715185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837963119">
    <w:abstractNumId w:val="3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49479735">
    <w:abstractNumId w:val="39"/>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5301129">
    <w:abstractNumId w:val="3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941291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30240744">
    <w:abstractNumId w:val="6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804"/>
    <w:rsid w:val="000027B7"/>
    <w:rsid w:val="00015379"/>
    <w:rsid w:val="00020E88"/>
    <w:rsid w:val="000447AC"/>
    <w:rsid w:val="00074D4D"/>
    <w:rsid w:val="00096E46"/>
    <w:rsid w:val="000A134F"/>
    <w:rsid w:val="000C1B35"/>
    <w:rsid w:val="000D0B9F"/>
    <w:rsid w:val="000E360C"/>
    <w:rsid w:val="00115FD0"/>
    <w:rsid w:val="00120893"/>
    <w:rsid w:val="00140063"/>
    <w:rsid w:val="00141630"/>
    <w:rsid w:val="00192909"/>
    <w:rsid w:val="001969B5"/>
    <w:rsid w:val="001A0DEC"/>
    <w:rsid w:val="001B6012"/>
    <w:rsid w:val="001E61BA"/>
    <w:rsid w:val="00202606"/>
    <w:rsid w:val="002126C4"/>
    <w:rsid w:val="002271E8"/>
    <w:rsid w:val="002456BF"/>
    <w:rsid w:val="00275C26"/>
    <w:rsid w:val="002C2E9E"/>
    <w:rsid w:val="002E6449"/>
    <w:rsid w:val="00306BBD"/>
    <w:rsid w:val="0034395B"/>
    <w:rsid w:val="00346E3E"/>
    <w:rsid w:val="00385033"/>
    <w:rsid w:val="003C4533"/>
    <w:rsid w:val="003D32C9"/>
    <w:rsid w:val="003E4333"/>
    <w:rsid w:val="003E5B3F"/>
    <w:rsid w:val="00421850"/>
    <w:rsid w:val="00443FB0"/>
    <w:rsid w:val="00453A6A"/>
    <w:rsid w:val="00453C1A"/>
    <w:rsid w:val="004868ED"/>
    <w:rsid w:val="004A0FA4"/>
    <w:rsid w:val="004B19C4"/>
    <w:rsid w:val="004E6961"/>
    <w:rsid w:val="004F460E"/>
    <w:rsid w:val="004F78A5"/>
    <w:rsid w:val="0053673F"/>
    <w:rsid w:val="00552EAF"/>
    <w:rsid w:val="00553BFD"/>
    <w:rsid w:val="00565120"/>
    <w:rsid w:val="00565ACC"/>
    <w:rsid w:val="00567F1A"/>
    <w:rsid w:val="00570563"/>
    <w:rsid w:val="005760C5"/>
    <w:rsid w:val="00594ADA"/>
    <w:rsid w:val="005B1DDD"/>
    <w:rsid w:val="005B2FDA"/>
    <w:rsid w:val="00600499"/>
    <w:rsid w:val="00613D81"/>
    <w:rsid w:val="00626592"/>
    <w:rsid w:val="0063032F"/>
    <w:rsid w:val="006327D3"/>
    <w:rsid w:val="0063367B"/>
    <w:rsid w:val="00635572"/>
    <w:rsid w:val="00651898"/>
    <w:rsid w:val="0068453A"/>
    <w:rsid w:val="00686912"/>
    <w:rsid w:val="006A5285"/>
    <w:rsid w:val="006A6AA7"/>
    <w:rsid w:val="006B060D"/>
    <w:rsid w:val="006C1512"/>
    <w:rsid w:val="006F3CE1"/>
    <w:rsid w:val="007017DC"/>
    <w:rsid w:val="00702E87"/>
    <w:rsid w:val="00726150"/>
    <w:rsid w:val="00730D32"/>
    <w:rsid w:val="00731298"/>
    <w:rsid w:val="00760E88"/>
    <w:rsid w:val="007721A7"/>
    <w:rsid w:val="007A6E58"/>
    <w:rsid w:val="007A7992"/>
    <w:rsid w:val="007B77B0"/>
    <w:rsid w:val="007C26F9"/>
    <w:rsid w:val="007F3AAF"/>
    <w:rsid w:val="008113E3"/>
    <w:rsid w:val="008117ED"/>
    <w:rsid w:val="008217FB"/>
    <w:rsid w:val="00823A9A"/>
    <w:rsid w:val="0082571A"/>
    <w:rsid w:val="00874975"/>
    <w:rsid w:val="00876AD3"/>
    <w:rsid w:val="00876FBA"/>
    <w:rsid w:val="008A7F58"/>
    <w:rsid w:val="009003EF"/>
    <w:rsid w:val="0091104E"/>
    <w:rsid w:val="009122C2"/>
    <w:rsid w:val="00984D40"/>
    <w:rsid w:val="009865AA"/>
    <w:rsid w:val="009A6DB1"/>
    <w:rsid w:val="009A6FDF"/>
    <w:rsid w:val="009D0348"/>
    <w:rsid w:val="00A0251C"/>
    <w:rsid w:val="00A15780"/>
    <w:rsid w:val="00A249E0"/>
    <w:rsid w:val="00A356BD"/>
    <w:rsid w:val="00A37997"/>
    <w:rsid w:val="00A52804"/>
    <w:rsid w:val="00A56FA0"/>
    <w:rsid w:val="00A638D2"/>
    <w:rsid w:val="00A64838"/>
    <w:rsid w:val="00A918B2"/>
    <w:rsid w:val="00A929C7"/>
    <w:rsid w:val="00AB6090"/>
    <w:rsid w:val="00AD10FD"/>
    <w:rsid w:val="00AF608B"/>
    <w:rsid w:val="00B0195D"/>
    <w:rsid w:val="00B254CB"/>
    <w:rsid w:val="00B303E1"/>
    <w:rsid w:val="00B325F2"/>
    <w:rsid w:val="00B4614C"/>
    <w:rsid w:val="00B56001"/>
    <w:rsid w:val="00B57FC7"/>
    <w:rsid w:val="00B76282"/>
    <w:rsid w:val="00B76B82"/>
    <w:rsid w:val="00B87BA3"/>
    <w:rsid w:val="00BA456E"/>
    <w:rsid w:val="00BB1706"/>
    <w:rsid w:val="00BB65A8"/>
    <w:rsid w:val="00BC31EE"/>
    <w:rsid w:val="00BD3951"/>
    <w:rsid w:val="00BE129C"/>
    <w:rsid w:val="00BE1B5A"/>
    <w:rsid w:val="00BE2DD3"/>
    <w:rsid w:val="00C0778F"/>
    <w:rsid w:val="00C24640"/>
    <w:rsid w:val="00C37755"/>
    <w:rsid w:val="00C5038D"/>
    <w:rsid w:val="00C83752"/>
    <w:rsid w:val="00C9436E"/>
    <w:rsid w:val="00CB10A6"/>
    <w:rsid w:val="00CB1B9A"/>
    <w:rsid w:val="00CB4DAB"/>
    <w:rsid w:val="00CD242B"/>
    <w:rsid w:val="00CE292C"/>
    <w:rsid w:val="00D73B50"/>
    <w:rsid w:val="00D73E1D"/>
    <w:rsid w:val="00DC5E8A"/>
    <w:rsid w:val="00DD79B8"/>
    <w:rsid w:val="00E54C22"/>
    <w:rsid w:val="00E60B3C"/>
    <w:rsid w:val="00E73177"/>
    <w:rsid w:val="00E81B27"/>
    <w:rsid w:val="00EC05E4"/>
    <w:rsid w:val="00EC6A7A"/>
    <w:rsid w:val="00EE6A94"/>
    <w:rsid w:val="00F071B4"/>
    <w:rsid w:val="00F13510"/>
    <w:rsid w:val="00F17763"/>
    <w:rsid w:val="00F40BF2"/>
    <w:rsid w:val="00F41588"/>
    <w:rsid w:val="00F64AAD"/>
    <w:rsid w:val="00FB461E"/>
    <w:rsid w:val="00FE0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538C5A75"/>
  <w15:chartTrackingRefBased/>
  <w15:docId w15:val="{23D0D2C6-3E27-4CF1-A9CC-6193A5EB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3C2415" w:themeColor="text2"/>
        <w:sz w:val="26"/>
        <w:szCs w:val="26"/>
        <w:lang w:val="fr-FR" w:eastAsia="ja-JP"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3" w:unhideWhenUsed="1" w:qFormat="1"/>
    <w:lsdException w:name="heading 6" w:semiHidden="1" w:uiPriority="3" w:unhideWhenUsed="1" w:qFormat="1"/>
    <w:lsdException w:name="heading 7" w:semiHidden="1" w:uiPriority="3"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063"/>
    <w:rPr>
      <w:sz w:val="18"/>
    </w:rPr>
  </w:style>
  <w:style w:type="paragraph" w:styleId="Titre1">
    <w:name w:val="heading 1"/>
    <w:basedOn w:val="Normal"/>
    <w:next w:val="Normal"/>
    <w:link w:val="Titre1Car"/>
    <w:uiPriority w:val="3"/>
    <w:rsid w:val="00570563"/>
    <w:pPr>
      <w:keepNext/>
      <w:keepLines/>
      <w:spacing w:before="280" w:after="80" w:line="240" w:lineRule="auto"/>
      <w:contextualSpacing/>
      <w:outlineLvl w:val="0"/>
    </w:pPr>
    <w:rPr>
      <w:b/>
      <w:bCs/>
      <w:sz w:val="30"/>
      <w:szCs w:val="30"/>
      <w:u w:val="single"/>
    </w:rPr>
  </w:style>
  <w:style w:type="paragraph" w:styleId="Titre2">
    <w:name w:val="heading 2"/>
    <w:basedOn w:val="Normal"/>
    <w:link w:val="Titre2Car"/>
    <w:uiPriority w:val="3"/>
    <w:unhideWhenUsed/>
    <w:qFormat/>
    <w:rsid w:val="006A5285"/>
    <w:pPr>
      <w:keepNext/>
      <w:keepLines/>
      <w:spacing w:after="480"/>
      <w:jc w:val="center"/>
      <w:outlineLvl w:val="1"/>
    </w:pPr>
    <w:rPr>
      <w:rFonts w:asciiTheme="majorHAnsi" w:eastAsiaTheme="majorEastAsia" w:hAnsiTheme="majorHAnsi" w:cstheme="majorBidi"/>
      <w:b/>
      <w:bCs/>
      <w:color w:val="FFFFFF" w:themeColor="background1"/>
      <w:sz w:val="32"/>
      <w:szCs w:val="36"/>
    </w:rPr>
  </w:style>
  <w:style w:type="paragraph" w:styleId="Titre3">
    <w:name w:val="heading 3"/>
    <w:basedOn w:val="Normal"/>
    <w:link w:val="Titre3Car"/>
    <w:uiPriority w:val="3"/>
    <w:unhideWhenUsed/>
    <w:qFormat/>
    <w:pPr>
      <w:keepNext/>
      <w:keepLines/>
      <w:spacing w:after="60" w:line="240" w:lineRule="auto"/>
      <w:jc w:val="center"/>
      <w:outlineLvl w:val="2"/>
    </w:pPr>
    <w:rPr>
      <w:rFonts w:asciiTheme="majorHAnsi" w:eastAsiaTheme="majorEastAsia" w:hAnsiTheme="majorHAnsi" w:cstheme="majorBidi"/>
      <w:b/>
      <w:bCs/>
      <w:caps/>
      <w:color w:val="FFFFFF" w:themeColor="background1"/>
      <w:sz w:val="30"/>
      <w:szCs w:val="30"/>
    </w:rPr>
  </w:style>
  <w:style w:type="paragraph" w:styleId="Titre4">
    <w:name w:val="heading 4"/>
    <w:basedOn w:val="Normal"/>
    <w:next w:val="Normal"/>
    <w:link w:val="Titre4Car"/>
    <w:uiPriority w:val="3"/>
    <w:unhideWhenUsed/>
    <w:qFormat/>
    <w:pPr>
      <w:keepNext/>
      <w:keepLines/>
      <w:spacing w:before="40" w:after="0"/>
      <w:outlineLvl w:val="3"/>
    </w:pPr>
    <w:rPr>
      <w:rFonts w:asciiTheme="majorHAnsi" w:eastAsiaTheme="majorEastAsia" w:hAnsiTheme="majorHAnsi" w:cstheme="majorBidi"/>
      <w:color w:val="C71C12" w:themeColor="accent1" w:themeShade="BF"/>
    </w:rPr>
  </w:style>
  <w:style w:type="paragraph" w:styleId="Titre5">
    <w:name w:val="heading 5"/>
    <w:basedOn w:val="Normal"/>
    <w:next w:val="Normal"/>
    <w:link w:val="Titre5Car"/>
    <w:uiPriority w:val="3"/>
    <w:semiHidden/>
    <w:unhideWhenUsed/>
    <w:qFormat/>
    <w:pPr>
      <w:keepNext/>
      <w:keepLines/>
      <w:spacing w:before="40" w:after="0"/>
      <w:outlineLvl w:val="4"/>
    </w:pPr>
    <w:rPr>
      <w:rFonts w:asciiTheme="majorHAnsi" w:eastAsiaTheme="majorEastAsia" w:hAnsiTheme="majorHAnsi" w:cstheme="majorBidi"/>
      <w:i/>
      <w:color w:val="C71C12" w:themeColor="accent1" w:themeShade="BF"/>
    </w:rPr>
  </w:style>
  <w:style w:type="paragraph" w:styleId="Titre6">
    <w:name w:val="heading 6"/>
    <w:basedOn w:val="Normal"/>
    <w:next w:val="Normal"/>
    <w:link w:val="Titre6Car"/>
    <w:uiPriority w:val="3"/>
    <w:semiHidden/>
    <w:unhideWhenUsed/>
    <w:qFormat/>
    <w:rsid w:val="00B57FC7"/>
    <w:pPr>
      <w:keepNext/>
      <w:keepLines/>
      <w:spacing w:before="40" w:after="0"/>
      <w:outlineLvl w:val="5"/>
    </w:pPr>
    <w:rPr>
      <w:rFonts w:asciiTheme="majorHAnsi" w:eastAsiaTheme="majorEastAsia" w:hAnsiTheme="majorHAnsi" w:cstheme="majorBidi"/>
      <w:color w:val="84130C" w:themeColor="accent1" w:themeShade="7F"/>
    </w:rPr>
  </w:style>
  <w:style w:type="paragraph" w:styleId="Titre7">
    <w:name w:val="heading 7"/>
    <w:basedOn w:val="Normal"/>
    <w:next w:val="Normal"/>
    <w:link w:val="Titre7Car"/>
    <w:uiPriority w:val="3"/>
    <w:semiHidden/>
    <w:unhideWhenUsed/>
    <w:qFormat/>
    <w:rsid w:val="00B57FC7"/>
    <w:pPr>
      <w:keepNext/>
      <w:keepLines/>
      <w:spacing w:before="40" w:after="0"/>
      <w:outlineLvl w:val="6"/>
    </w:pPr>
    <w:rPr>
      <w:rFonts w:asciiTheme="majorHAnsi" w:eastAsiaTheme="majorEastAsia" w:hAnsiTheme="majorHAnsi" w:cstheme="majorBidi"/>
      <w:i/>
      <w:iCs/>
      <w:color w:val="84130C" w:themeColor="accent1" w:themeShade="7F"/>
    </w:rPr>
  </w:style>
  <w:style w:type="paragraph" w:styleId="Titre8">
    <w:name w:val="heading 8"/>
    <w:basedOn w:val="Normal"/>
    <w:next w:val="Normal"/>
    <w:link w:val="Titre8Car"/>
    <w:uiPriority w:val="3"/>
    <w:semiHidden/>
    <w:unhideWhenUsed/>
    <w:qFormat/>
    <w:rsid w:val="00B57FC7"/>
    <w:pPr>
      <w:keepNext/>
      <w:keepLines/>
      <w:spacing w:before="40" w:after="0"/>
      <w:outlineLvl w:val="7"/>
    </w:pPr>
    <w:rPr>
      <w:rFonts w:asciiTheme="majorHAnsi" w:eastAsiaTheme="majorEastAsia" w:hAnsiTheme="majorHAnsi" w:cstheme="majorBidi"/>
      <w:color w:val="272727" w:themeColor="text1" w:themeTint="D8"/>
      <w:sz w:val="22"/>
      <w:szCs w:val="21"/>
    </w:rPr>
  </w:style>
  <w:style w:type="paragraph" w:styleId="Titre9">
    <w:name w:val="heading 9"/>
    <w:basedOn w:val="Normal"/>
    <w:next w:val="Normal"/>
    <w:link w:val="Titre9Car"/>
    <w:uiPriority w:val="3"/>
    <w:semiHidden/>
    <w:unhideWhenUsed/>
    <w:qFormat/>
    <w:rsid w:val="00B57FC7"/>
    <w:pPr>
      <w:keepNext/>
      <w:keepLines/>
      <w:spacing w:before="40" w:after="0"/>
      <w:outlineLvl w:val="8"/>
    </w:pPr>
    <w:rPr>
      <w:rFonts w:asciiTheme="majorHAnsi" w:eastAsiaTheme="majorEastAsia" w:hAnsiTheme="majorHAnsi" w:cstheme="majorBidi"/>
      <w:i/>
      <w:iCs/>
      <w:color w:val="272727" w:themeColor="text1" w:themeTint="D8"/>
      <w:sz w:val="22"/>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aliases w:val="Style 1"/>
    <w:basedOn w:val="Normal"/>
    <w:link w:val="Sous-titreCar"/>
    <w:uiPriority w:val="2"/>
    <w:qFormat/>
    <w:rsid w:val="006F3CE1"/>
    <w:pPr>
      <w:numPr>
        <w:ilvl w:val="1"/>
      </w:numPr>
      <w:spacing w:after="0" w:line="240" w:lineRule="auto"/>
      <w:contextualSpacing/>
    </w:pPr>
    <w:rPr>
      <w:b/>
      <w:caps/>
      <w:sz w:val="106"/>
    </w:rPr>
  </w:style>
  <w:style w:type="character" w:customStyle="1" w:styleId="Sous-titreCar">
    <w:name w:val="Sous-titre Car"/>
    <w:aliases w:val="Style 1 Car"/>
    <w:basedOn w:val="Policepardfaut"/>
    <w:link w:val="Sous-titre"/>
    <w:uiPriority w:val="2"/>
    <w:rsid w:val="006F3CE1"/>
    <w:rPr>
      <w:b/>
      <w:caps/>
      <w:sz w:val="106"/>
    </w:rPr>
  </w:style>
  <w:style w:type="paragraph" w:styleId="Titre">
    <w:name w:val="Title"/>
    <w:basedOn w:val="Normal"/>
    <w:link w:val="TitreCar"/>
    <w:uiPriority w:val="1"/>
    <w:qFormat/>
    <w:rsid w:val="00FB461E"/>
    <w:pPr>
      <w:spacing w:before="320" w:after="0" w:line="240" w:lineRule="auto"/>
      <w:contextualSpacing/>
    </w:pPr>
    <w:rPr>
      <w:rFonts w:asciiTheme="majorHAnsi" w:eastAsiaTheme="majorEastAsia" w:hAnsiTheme="majorHAnsi" w:cstheme="majorBidi"/>
      <w:b/>
      <w:bCs/>
      <w:caps/>
      <w:color w:val="000000" w:themeColor="text1"/>
      <w:kern w:val="28"/>
      <w:sz w:val="36"/>
      <w:szCs w:val="106"/>
      <w:u w:val="single"/>
    </w:rPr>
  </w:style>
  <w:style w:type="character" w:customStyle="1" w:styleId="TitreCar">
    <w:name w:val="Titre Car"/>
    <w:basedOn w:val="Policepardfaut"/>
    <w:link w:val="Titre"/>
    <w:uiPriority w:val="1"/>
    <w:rsid w:val="00FB461E"/>
    <w:rPr>
      <w:rFonts w:asciiTheme="majorHAnsi" w:eastAsiaTheme="majorEastAsia" w:hAnsiTheme="majorHAnsi" w:cstheme="majorBidi"/>
      <w:b/>
      <w:bCs/>
      <w:caps/>
      <w:color w:val="000000" w:themeColor="text1"/>
      <w:kern w:val="28"/>
      <w:sz w:val="36"/>
      <w:szCs w:val="106"/>
      <w:u w:val="single"/>
    </w:rPr>
  </w:style>
  <w:style w:type="character" w:customStyle="1" w:styleId="Titre1Car">
    <w:name w:val="Titre 1 Car"/>
    <w:basedOn w:val="Policepardfaut"/>
    <w:link w:val="Titre1"/>
    <w:uiPriority w:val="3"/>
    <w:rsid w:val="00570563"/>
    <w:rPr>
      <w:b/>
      <w:bCs/>
      <w:sz w:val="30"/>
      <w:szCs w:val="30"/>
      <w:u w:val="single"/>
    </w:rPr>
  </w:style>
  <w:style w:type="character" w:styleId="Textedelespacerserv">
    <w:name w:val="Placeholder Text"/>
    <w:basedOn w:val="Policepardfaut"/>
    <w:uiPriority w:val="99"/>
    <w:semiHidden/>
    <w:rPr>
      <w:color w:val="808080"/>
    </w:rPr>
  </w:style>
  <w:style w:type="paragraph" w:styleId="Sansinterligne">
    <w:name w:val="No Spacing"/>
    <w:uiPriority w:val="19"/>
    <w:qFormat/>
    <w:pPr>
      <w:spacing w:after="0" w:line="240" w:lineRule="auto"/>
    </w:pPr>
  </w:style>
  <w:style w:type="character" w:customStyle="1" w:styleId="Titre2Car">
    <w:name w:val="Titre 2 Car"/>
    <w:basedOn w:val="Policepardfaut"/>
    <w:link w:val="Titre2"/>
    <w:uiPriority w:val="3"/>
    <w:rsid w:val="006A5285"/>
    <w:rPr>
      <w:rFonts w:asciiTheme="majorHAnsi" w:eastAsiaTheme="majorEastAsia" w:hAnsiTheme="majorHAnsi" w:cstheme="majorBidi"/>
      <w:b/>
      <w:bCs/>
      <w:color w:val="FFFFFF" w:themeColor="background1"/>
      <w:sz w:val="32"/>
      <w:szCs w:val="36"/>
    </w:rPr>
  </w:style>
  <w:style w:type="character" w:customStyle="1" w:styleId="Titre3Car">
    <w:name w:val="Titre 3 Car"/>
    <w:basedOn w:val="Policepardfaut"/>
    <w:link w:val="Titre3"/>
    <w:uiPriority w:val="3"/>
    <w:rPr>
      <w:rFonts w:asciiTheme="majorHAnsi" w:eastAsiaTheme="majorEastAsia" w:hAnsiTheme="majorHAnsi" w:cstheme="majorBidi"/>
      <w:b/>
      <w:bCs/>
      <w:caps/>
      <w:color w:val="FFFFFF" w:themeColor="background1"/>
      <w:sz w:val="30"/>
      <w:szCs w:val="30"/>
    </w:rPr>
  </w:style>
  <w:style w:type="paragraph" w:customStyle="1" w:styleId="Coordonnes">
    <w:name w:val="Coordonnées"/>
    <w:basedOn w:val="Normal"/>
    <w:uiPriority w:val="5"/>
    <w:qFormat/>
    <w:pPr>
      <w:spacing w:after="280" w:line="240" w:lineRule="auto"/>
      <w:contextualSpacing/>
      <w:jc w:val="center"/>
    </w:pPr>
    <w:rPr>
      <w:color w:val="FFFFFF" w:themeColor="background1"/>
    </w:rPr>
  </w:style>
  <w:style w:type="paragraph" w:styleId="Date">
    <w:name w:val="Date"/>
    <w:basedOn w:val="Normal"/>
    <w:link w:val="DateCar"/>
    <w:uiPriority w:val="5"/>
    <w:qFormat/>
    <w:pPr>
      <w:spacing w:after="0"/>
      <w:jc w:val="center"/>
    </w:pPr>
    <w:rPr>
      <w:color w:val="FFFFFF" w:themeColor="background1"/>
    </w:rPr>
  </w:style>
  <w:style w:type="character" w:customStyle="1" w:styleId="DateCar">
    <w:name w:val="Date Car"/>
    <w:basedOn w:val="Policepardfaut"/>
    <w:link w:val="Date"/>
    <w:uiPriority w:val="5"/>
    <w:rsid w:val="00760E88"/>
    <w:rPr>
      <w:color w:val="FFFFFF" w:themeColor="background1"/>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22"/>
      <w:szCs w:val="18"/>
    </w:rPr>
  </w:style>
  <w:style w:type="character" w:customStyle="1" w:styleId="TextedebullesCar">
    <w:name w:val="Texte de bulles Car"/>
    <w:basedOn w:val="Policepardfaut"/>
    <w:link w:val="Textedebulles"/>
    <w:uiPriority w:val="99"/>
    <w:semiHidden/>
    <w:rPr>
      <w:rFonts w:ascii="Segoe UI" w:hAnsi="Segoe UI" w:cs="Segoe UI"/>
      <w:sz w:val="22"/>
      <w:szCs w:val="18"/>
    </w:rPr>
  </w:style>
  <w:style w:type="character" w:customStyle="1" w:styleId="Titre4Car">
    <w:name w:val="Titre 4 Car"/>
    <w:basedOn w:val="Policepardfaut"/>
    <w:link w:val="Titre4"/>
    <w:uiPriority w:val="3"/>
    <w:rPr>
      <w:rFonts w:asciiTheme="majorHAnsi" w:eastAsiaTheme="majorEastAsia" w:hAnsiTheme="majorHAnsi" w:cstheme="majorBidi"/>
      <w:color w:val="C71C12" w:themeColor="accent1" w:themeShade="BF"/>
    </w:rPr>
  </w:style>
  <w:style w:type="paragraph" w:styleId="Pieddepage">
    <w:name w:val="footer"/>
    <w:basedOn w:val="Normal"/>
    <w:link w:val="PieddepageCar"/>
    <w:uiPriority w:val="99"/>
    <w:pPr>
      <w:spacing w:after="0" w:line="240" w:lineRule="auto"/>
    </w:pPr>
  </w:style>
  <w:style w:type="character" w:customStyle="1" w:styleId="PieddepageCar">
    <w:name w:val="Pied de page Car"/>
    <w:basedOn w:val="Policepardfaut"/>
    <w:link w:val="Pieddepage"/>
    <w:uiPriority w:val="99"/>
  </w:style>
  <w:style w:type="paragraph" w:styleId="En-tte">
    <w:name w:val="header"/>
    <w:basedOn w:val="Normal"/>
    <w:link w:val="En-tteCar"/>
    <w:uiPriority w:val="99"/>
    <w:pPr>
      <w:spacing w:after="0" w:line="240" w:lineRule="auto"/>
    </w:pPr>
  </w:style>
  <w:style w:type="character" w:customStyle="1" w:styleId="En-tteCar">
    <w:name w:val="En-tête Car"/>
    <w:basedOn w:val="Policepardfaut"/>
    <w:link w:val="En-tte"/>
    <w:uiPriority w:val="99"/>
  </w:style>
  <w:style w:type="character" w:customStyle="1" w:styleId="Titre5Car">
    <w:name w:val="Titre 5 Car"/>
    <w:basedOn w:val="Policepardfaut"/>
    <w:link w:val="Titre5"/>
    <w:uiPriority w:val="3"/>
    <w:semiHidden/>
    <w:rPr>
      <w:rFonts w:asciiTheme="majorHAnsi" w:eastAsiaTheme="majorEastAsia" w:hAnsiTheme="majorHAnsi" w:cstheme="majorBidi"/>
      <w:i/>
      <w:color w:val="C71C12" w:themeColor="accent1" w:themeShade="BF"/>
    </w:rPr>
  </w:style>
  <w:style w:type="character" w:styleId="Accentuationintense">
    <w:name w:val="Intense Emphasis"/>
    <w:basedOn w:val="Policepardfaut"/>
    <w:uiPriority w:val="21"/>
    <w:semiHidden/>
    <w:unhideWhenUsed/>
    <w:qFormat/>
    <w:rPr>
      <w:i/>
      <w:iCs/>
      <w:color w:val="C71C12" w:themeColor="accent1" w:themeShade="BF"/>
    </w:rPr>
  </w:style>
  <w:style w:type="paragraph" w:styleId="Citationintense">
    <w:name w:val="Intense Quote"/>
    <w:basedOn w:val="Normal"/>
    <w:next w:val="Normal"/>
    <w:link w:val="CitationintenseCar"/>
    <w:uiPriority w:val="30"/>
    <w:semiHidden/>
    <w:unhideWhenUsed/>
    <w:qFormat/>
    <w:rsid w:val="00A918B2"/>
    <w:pPr>
      <w:pBdr>
        <w:top w:val="single" w:sz="4" w:space="10" w:color="C71C12" w:themeColor="accent1" w:themeShade="BF"/>
        <w:bottom w:val="single" w:sz="4" w:space="10" w:color="C71C12" w:themeColor="accent1" w:themeShade="BF"/>
      </w:pBdr>
      <w:spacing w:before="360" w:after="360"/>
      <w:jc w:val="center"/>
    </w:pPr>
    <w:rPr>
      <w:i/>
      <w:iCs/>
      <w:color w:val="C71C12" w:themeColor="accent1" w:themeShade="BF"/>
    </w:rPr>
  </w:style>
  <w:style w:type="character" w:customStyle="1" w:styleId="CitationintenseCar">
    <w:name w:val="Citation intense Car"/>
    <w:basedOn w:val="Policepardfaut"/>
    <w:link w:val="Citationintense"/>
    <w:uiPriority w:val="30"/>
    <w:semiHidden/>
    <w:rsid w:val="00A918B2"/>
    <w:rPr>
      <w:i/>
      <w:iCs/>
      <w:color w:val="C71C12" w:themeColor="accent1" w:themeShade="BF"/>
    </w:rPr>
  </w:style>
  <w:style w:type="character" w:styleId="Rfrenceintense">
    <w:name w:val="Intense Reference"/>
    <w:basedOn w:val="Policepardfaut"/>
    <w:uiPriority w:val="32"/>
    <w:semiHidden/>
    <w:unhideWhenUsed/>
    <w:qFormat/>
    <w:rsid w:val="00A918B2"/>
    <w:rPr>
      <w:b/>
      <w:bCs/>
      <w:caps w:val="0"/>
      <w:smallCaps/>
      <w:color w:val="C71C12" w:themeColor="accent1" w:themeShade="BF"/>
      <w:spacing w:val="0"/>
    </w:rPr>
  </w:style>
  <w:style w:type="paragraph" w:styleId="Bibliographie">
    <w:name w:val="Bibliography"/>
    <w:basedOn w:val="Normal"/>
    <w:next w:val="Normal"/>
    <w:uiPriority w:val="37"/>
    <w:semiHidden/>
    <w:unhideWhenUsed/>
    <w:rsid w:val="00B57FC7"/>
  </w:style>
  <w:style w:type="paragraph" w:styleId="Normalcentr">
    <w:name w:val="Block Text"/>
    <w:basedOn w:val="Normal"/>
    <w:uiPriority w:val="99"/>
    <w:semiHidden/>
    <w:unhideWhenUsed/>
    <w:qFormat/>
    <w:rsid w:val="00B57FC7"/>
    <w:pPr>
      <w:pBdr>
        <w:top w:val="single" w:sz="2" w:space="10" w:color="ED4136" w:themeColor="accent1" w:shadow="1" w:frame="1"/>
        <w:left w:val="single" w:sz="2" w:space="10" w:color="ED4136" w:themeColor="accent1" w:shadow="1" w:frame="1"/>
        <w:bottom w:val="single" w:sz="2" w:space="10" w:color="ED4136" w:themeColor="accent1" w:shadow="1" w:frame="1"/>
        <w:right w:val="single" w:sz="2" w:space="10" w:color="ED4136" w:themeColor="accent1" w:shadow="1" w:frame="1"/>
      </w:pBdr>
      <w:ind w:left="1152" w:right="1152"/>
    </w:pPr>
    <w:rPr>
      <w:i/>
      <w:iCs/>
      <w:color w:val="ED4136" w:themeColor="accent1"/>
    </w:rPr>
  </w:style>
  <w:style w:type="paragraph" w:styleId="Corpsdetexte">
    <w:name w:val="Body Text"/>
    <w:basedOn w:val="Normal"/>
    <w:link w:val="CorpsdetexteCar"/>
    <w:uiPriority w:val="99"/>
    <w:semiHidden/>
    <w:unhideWhenUsed/>
    <w:qFormat/>
    <w:rsid w:val="00B57FC7"/>
    <w:pPr>
      <w:spacing w:after="120"/>
    </w:pPr>
  </w:style>
  <w:style w:type="character" w:customStyle="1" w:styleId="CorpsdetexteCar">
    <w:name w:val="Corps de texte Car"/>
    <w:basedOn w:val="Policepardfaut"/>
    <w:link w:val="Corpsdetexte"/>
    <w:uiPriority w:val="99"/>
    <w:semiHidden/>
    <w:rsid w:val="00B57FC7"/>
  </w:style>
  <w:style w:type="paragraph" w:styleId="Corpsdetexte2">
    <w:name w:val="Body Text 2"/>
    <w:basedOn w:val="Normal"/>
    <w:link w:val="Corpsdetexte2Car"/>
    <w:uiPriority w:val="99"/>
    <w:semiHidden/>
    <w:unhideWhenUsed/>
    <w:rsid w:val="00B57FC7"/>
    <w:pPr>
      <w:spacing w:after="120" w:line="480" w:lineRule="auto"/>
    </w:pPr>
  </w:style>
  <w:style w:type="character" w:customStyle="1" w:styleId="Corpsdetexte2Car">
    <w:name w:val="Corps de texte 2 Car"/>
    <w:basedOn w:val="Policepardfaut"/>
    <w:link w:val="Corpsdetexte2"/>
    <w:uiPriority w:val="99"/>
    <w:semiHidden/>
    <w:rsid w:val="00B57FC7"/>
  </w:style>
  <w:style w:type="paragraph" w:styleId="Corpsdetexte3">
    <w:name w:val="Body Text 3"/>
    <w:basedOn w:val="Normal"/>
    <w:link w:val="Corpsdetexte3Car"/>
    <w:uiPriority w:val="99"/>
    <w:semiHidden/>
    <w:unhideWhenUsed/>
    <w:rsid w:val="00B57FC7"/>
    <w:pPr>
      <w:spacing w:after="120"/>
    </w:pPr>
    <w:rPr>
      <w:sz w:val="22"/>
      <w:szCs w:val="16"/>
    </w:rPr>
  </w:style>
  <w:style w:type="character" w:customStyle="1" w:styleId="Corpsdetexte3Car">
    <w:name w:val="Corps de texte 3 Car"/>
    <w:basedOn w:val="Policepardfaut"/>
    <w:link w:val="Corpsdetexte3"/>
    <w:uiPriority w:val="99"/>
    <w:semiHidden/>
    <w:rsid w:val="00B57FC7"/>
    <w:rPr>
      <w:sz w:val="22"/>
      <w:szCs w:val="16"/>
    </w:rPr>
  </w:style>
  <w:style w:type="paragraph" w:styleId="Retrait1religne">
    <w:name w:val="Body Text First Indent"/>
    <w:basedOn w:val="Corpsdetexte"/>
    <w:link w:val="Retrait1religneCar"/>
    <w:uiPriority w:val="99"/>
    <w:semiHidden/>
    <w:unhideWhenUsed/>
    <w:rsid w:val="00B57FC7"/>
    <w:pPr>
      <w:spacing w:after="160"/>
      <w:ind w:firstLine="360"/>
    </w:pPr>
  </w:style>
  <w:style w:type="character" w:customStyle="1" w:styleId="Retrait1religneCar">
    <w:name w:val="Retrait 1re ligne Car"/>
    <w:basedOn w:val="CorpsdetexteCar"/>
    <w:link w:val="Retrait1religne"/>
    <w:uiPriority w:val="99"/>
    <w:semiHidden/>
    <w:rsid w:val="00B57FC7"/>
  </w:style>
  <w:style w:type="paragraph" w:styleId="Retraitcorpsdetexte">
    <w:name w:val="Body Text Indent"/>
    <w:basedOn w:val="Normal"/>
    <w:link w:val="RetraitcorpsdetexteCar"/>
    <w:uiPriority w:val="99"/>
    <w:semiHidden/>
    <w:unhideWhenUsed/>
    <w:rsid w:val="00B57FC7"/>
    <w:pPr>
      <w:spacing w:after="120"/>
      <w:ind w:left="360"/>
    </w:pPr>
  </w:style>
  <w:style w:type="character" w:customStyle="1" w:styleId="RetraitcorpsdetexteCar">
    <w:name w:val="Retrait corps de texte Car"/>
    <w:basedOn w:val="Policepardfaut"/>
    <w:link w:val="Retraitcorpsdetexte"/>
    <w:uiPriority w:val="99"/>
    <w:semiHidden/>
    <w:rsid w:val="00B57FC7"/>
  </w:style>
  <w:style w:type="paragraph" w:styleId="Retraitcorpset1relig">
    <w:name w:val="Body Text First Indent 2"/>
    <w:basedOn w:val="Retraitcorpsdetexte"/>
    <w:link w:val="Retraitcorpset1religCar"/>
    <w:uiPriority w:val="99"/>
    <w:semiHidden/>
    <w:unhideWhenUsed/>
    <w:rsid w:val="00B57FC7"/>
    <w:pPr>
      <w:spacing w:after="160"/>
      <w:ind w:firstLine="360"/>
    </w:pPr>
  </w:style>
  <w:style w:type="character" w:customStyle="1" w:styleId="Retraitcorpset1religCar">
    <w:name w:val="Retrait corps et 1re lig. Car"/>
    <w:basedOn w:val="RetraitcorpsdetexteCar"/>
    <w:link w:val="Retraitcorpset1relig"/>
    <w:uiPriority w:val="99"/>
    <w:semiHidden/>
    <w:rsid w:val="00B57FC7"/>
  </w:style>
  <w:style w:type="paragraph" w:styleId="Retraitcorpsdetexte2">
    <w:name w:val="Body Text Indent 2"/>
    <w:basedOn w:val="Normal"/>
    <w:link w:val="Retraitcorpsdetexte2Car"/>
    <w:uiPriority w:val="99"/>
    <w:semiHidden/>
    <w:unhideWhenUsed/>
    <w:rsid w:val="00B57FC7"/>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B57FC7"/>
  </w:style>
  <w:style w:type="paragraph" w:styleId="Retraitcorpsdetexte3">
    <w:name w:val="Body Text Indent 3"/>
    <w:basedOn w:val="Normal"/>
    <w:link w:val="Retraitcorpsdetexte3Car"/>
    <w:uiPriority w:val="99"/>
    <w:semiHidden/>
    <w:unhideWhenUsed/>
    <w:rsid w:val="00B57FC7"/>
    <w:pPr>
      <w:spacing w:after="120"/>
      <w:ind w:left="360"/>
    </w:pPr>
    <w:rPr>
      <w:sz w:val="22"/>
      <w:szCs w:val="16"/>
    </w:rPr>
  </w:style>
  <w:style w:type="character" w:customStyle="1" w:styleId="Retraitcorpsdetexte3Car">
    <w:name w:val="Retrait corps de texte 3 Car"/>
    <w:basedOn w:val="Policepardfaut"/>
    <w:link w:val="Retraitcorpsdetexte3"/>
    <w:uiPriority w:val="99"/>
    <w:semiHidden/>
    <w:rsid w:val="00B57FC7"/>
    <w:rPr>
      <w:sz w:val="22"/>
      <w:szCs w:val="16"/>
    </w:rPr>
  </w:style>
  <w:style w:type="character" w:styleId="Titredulivre">
    <w:name w:val="Book Title"/>
    <w:basedOn w:val="Policepardfaut"/>
    <w:uiPriority w:val="33"/>
    <w:semiHidden/>
    <w:unhideWhenUsed/>
    <w:qFormat/>
    <w:rsid w:val="00A918B2"/>
    <w:rPr>
      <w:b/>
      <w:bCs/>
      <w:i/>
      <w:iCs/>
      <w:spacing w:val="0"/>
    </w:rPr>
  </w:style>
  <w:style w:type="paragraph" w:styleId="Lgende">
    <w:name w:val="caption"/>
    <w:basedOn w:val="Normal"/>
    <w:next w:val="Normal"/>
    <w:uiPriority w:val="35"/>
    <w:semiHidden/>
    <w:unhideWhenUsed/>
    <w:qFormat/>
    <w:rsid w:val="00B57FC7"/>
    <w:pPr>
      <w:spacing w:after="200" w:line="240" w:lineRule="auto"/>
    </w:pPr>
    <w:rPr>
      <w:i/>
      <w:iCs/>
      <w:sz w:val="22"/>
      <w:szCs w:val="18"/>
    </w:rPr>
  </w:style>
  <w:style w:type="paragraph" w:styleId="Formuledepolitesse">
    <w:name w:val="Closing"/>
    <w:basedOn w:val="Normal"/>
    <w:link w:val="FormuledepolitesseCar"/>
    <w:uiPriority w:val="99"/>
    <w:semiHidden/>
    <w:unhideWhenUsed/>
    <w:rsid w:val="00B57FC7"/>
    <w:pPr>
      <w:spacing w:after="0" w:line="240" w:lineRule="auto"/>
      <w:ind w:left="4320"/>
    </w:pPr>
  </w:style>
  <w:style w:type="character" w:customStyle="1" w:styleId="FormuledepolitesseCar">
    <w:name w:val="Formule de politesse Car"/>
    <w:basedOn w:val="Policepardfaut"/>
    <w:link w:val="Formuledepolitesse"/>
    <w:uiPriority w:val="99"/>
    <w:semiHidden/>
    <w:rsid w:val="00B57FC7"/>
  </w:style>
  <w:style w:type="table" w:styleId="Grillecouleur">
    <w:name w:val="Colorful Grid"/>
    <w:basedOn w:val="Tableau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D8D6" w:themeFill="accent1" w:themeFillTint="33"/>
    </w:tcPr>
    <w:tblStylePr w:type="firstRow">
      <w:rPr>
        <w:b/>
        <w:bCs/>
      </w:rPr>
      <w:tblPr/>
      <w:tcPr>
        <w:shd w:val="clear" w:color="auto" w:fill="F7B2AE" w:themeFill="accent1" w:themeFillTint="66"/>
      </w:tcPr>
    </w:tblStylePr>
    <w:tblStylePr w:type="lastRow">
      <w:rPr>
        <w:b/>
        <w:bCs/>
        <w:color w:val="000000" w:themeColor="text1"/>
      </w:rPr>
      <w:tblPr/>
      <w:tcPr>
        <w:shd w:val="clear" w:color="auto" w:fill="F7B2AE" w:themeFill="accent1" w:themeFillTint="66"/>
      </w:tcPr>
    </w:tblStylePr>
    <w:tblStylePr w:type="firstCol">
      <w:rPr>
        <w:color w:val="FFFFFF" w:themeColor="background1"/>
      </w:rPr>
      <w:tblPr/>
      <w:tcPr>
        <w:shd w:val="clear" w:color="auto" w:fill="C71C12" w:themeFill="accent1" w:themeFillShade="BF"/>
      </w:tcPr>
    </w:tblStylePr>
    <w:tblStylePr w:type="lastCol">
      <w:rPr>
        <w:color w:val="FFFFFF" w:themeColor="background1"/>
      </w:rPr>
      <w:tblPr/>
      <w:tcPr>
        <w:shd w:val="clear" w:color="auto" w:fill="C71C12" w:themeFill="accent1" w:themeFillShade="BF"/>
      </w:tcPr>
    </w:tblStylePr>
    <w:tblStylePr w:type="band1Vert">
      <w:tblPr/>
      <w:tcPr>
        <w:shd w:val="clear" w:color="auto" w:fill="F6A09A" w:themeFill="accent1" w:themeFillTint="7F"/>
      </w:tcPr>
    </w:tblStylePr>
    <w:tblStylePr w:type="band1Horz">
      <w:tblPr/>
      <w:tcPr>
        <w:shd w:val="clear" w:color="auto" w:fill="F6A09A" w:themeFill="accent1" w:themeFillTint="7F"/>
      </w:tcPr>
    </w:tblStylePr>
  </w:style>
  <w:style w:type="table" w:styleId="Grillecouleur-Accent2">
    <w:name w:val="Colorful Grid Accent 2"/>
    <w:basedOn w:val="Tableau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1" w:themeFill="accent2" w:themeFillTint="33"/>
    </w:tcPr>
    <w:tblStylePr w:type="firstRow">
      <w:rPr>
        <w:b/>
        <w:bCs/>
      </w:rPr>
      <w:tblPr/>
      <w:tcPr>
        <w:shd w:val="clear" w:color="auto" w:fill="FBD9A3" w:themeFill="accent2" w:themeFillTint="66"/>
      </w:tcPr>
    </w:tblStylePr>
    <w:tblStylePr w:type="lastRow">
      <w:rPr>
        <w:b/>
        <w:bCs/>
        <w:color w:val="000000" w:themeColor="text1"/>
      </w:rPr>
      <w:tblPr/>
      <w:tcPr>
        <w:shd w:val="clear" w:color="auto" w:fill="FBD9A3" w:themeFill="accent2" w:themeFillTint="66"/>
      </w:tcPr>
    </w:tblStylePr>
    <w:tblStylePr w:type="firstCol">
      <w:rPr>
        <w:color w:val="FFFFFF" w:themeColor="background1"/>
      </w:rPr>
      <w:tblPr/>
      <w:tcPr>
        <w:shd w:val="clear" w:color="auto" w:fill="C17B08" w:themeFill="accent2" w:themeFillShade="BF"/>
      </w:tcPr>
    </w:tblStylePr>
    <w:tblStylePr w:type="lastCol">
      <w:rPr>
        <w:color w:val="FFFFFF" w:themeColor="background1"/>
      </w:rPr>
      <w:tblPr/>
      <w:tcPr>
        <w:shd w:val="clear" w:color="auto" w:fill="C17B08" w:themeFill="accent2" w:themeFillShade="BF"/>
      </w:tcPr>
    </w:tblStylePr>
    <w:tblStylePr w:type="band1Vert">
      <w:tblPr/>
      <w:tcPr>
        <w:shd w:val="clear" w:color="auto" w:fill="FAD08C" w:themeFill="accent2" w:themeFillTint="7F"/>
      </w:tcPr>
    </w:tblStylePr>
    <w:tblStylePr w:type="band1Horz">
      <w:tblPr/>
      <w:tcPr>
        <w:shd w:val="clear" w:color="auto" w:fill="FAD08C" w:themeFill="accent2" w:themeFillTint="7F"/>
      </w:tcPr>
    </w:tblStylePr>
  </w:style>
  <w:style w:type="table" w:styleId="Grillecouleur-Accent3">
    <w:name w:val="Colorful Grid Accent 3"/>
    <w:basedOn w:val="Tableau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CF" w:themeFill="accent3" w:themeFillTint="33"/>
    </w:tcPr>
    <w:tblStylePr w:type="firstRow">
      <w:rPr>
        <w:b/>
        <w:bCs/>
      </w:rPr>
      <w:tblPr/>
      <w:tcPr>
        <w:shd w:val="clear" w:color="auto" w:fill="F4BCA0" w:themeFill="accent3" w:themeFillTint="66"/>
      </w:tcPr>
    </w:tblStylePr>
    <w:tblStylePr w:type="lastRow">
      <w:rPr>
        <w:b/>
        <w:bCs/>
        <w:color w:val="000000" w:themeColor="text1"/>
      </w:rPr>
      <w:tblPr/>
      <w:tcPr>
        <w:shd w:val="clear" w:color="auto" w:fill="F4BCA0" w:themeFill="accent3" w:themeFillTint="66"/>
      </w:tcPr>
    </w:tblStylePr>
    <w:tblStylePr w:type="firstCol">
      <w:rPr>
        <w:color w:val="FFFFFF" w:themeColor="background1"/>
      </w:rPr>
      <w:tblPr/>
      <w:tcPr>
        <w:shd w:val="clear" w:color="auto" w:fill="A64312" w:themeFill="accent3" w:themeFillShade="BF"/>
      </w:tcPr>
    </w:tblStylePr>
    <w:tblStylePr w:type="lastCol">
      <w:rPr>
        <w:color w:val="FFFFFF" w:themeColor="background1"/>
      </w:rPr>
      <w:tblPr/>
      <w:tcPr>
        <w:shd w:val="clear" w:color="auto" w:fill="A64312" w:themeFill="accent3" w:themeFillShade="BF"/>
      </w:tcPr>
    </w:tblStylePr>
    <w:tblStylePr w:type="band1Vert">
      <w:tblPr/>
      <w:tcPr>
        <w:shd w:val="clear" w:color="auto" w:fill="F1AC89" w:themeFill="accent3" w:themeFillTint="7F"/>
      </w:tcPr>
    </w:tblStylePr>
    <w:tblStylePr w:type="band1Horz">
      <w:tblPr/>
      <w:tcPr>
        <w:shd w:val="clear" w:color="auto" w:fill="F1AC89" w:themeFill="accent3" w:themeFillTint="7F"/>
      </w:tcPr>
    </w:tblStylePr>
  </w:style>
  <w:style w:type="table" w:styleId="Grillecouleur-Accent4">
    <w:name w:val="Colorful Grid Accent 4"/>
    <w:basedOn w:val="Tableau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1F5CF" w:themeFill="accent4" w:themeFillTint="33"/>
    </w:tcPr>
    <w:tblStylePr w:type="firstRow">
      <w:rPr>
        <w:b/>
        <w:bCs/>
      </w:rPr>
      <w:tblPr/>
      <w:tcPr>
        <w:shd w:val="clear" w:color="auto" w:fill="E3EC9F" w:themeFill="accent4" w:themeFillTint="66"/>
      </w:tcPr>
    </w:tblStylePr>
    <w:tblStylePr w:type="lastRow">
      <w:rPr>
        <w:b/>
        <w:bCs/>
        <w:color w:val="000000" w:themeColor="text1"/>
      </w:rPr>
      <w:tblPr/>
      <w:tcPr>
        <w:shd w:val="clear" w:color="auto" w:fill="E3EC9F" w:themeFill="accent4" w:themeFillTint="66"/>
      </w:tcPr>
    </w:tblStylePr>
    <w:tblStylePr w:type="firstCol">
      <w:rPr>
        <w:color w:val="FFFFFF" w:themeColor="background1"/>
      </w:rPr>
      <w:tblPr/>
      <w:tcPr>
        <w:shd w:val="clear" w:color="auto" w:fill="808C1B" w:themeFill="accent4" w:themeFillShade="BF"/>
      </w:tcPr>
    </w:tblStylePr>
    <w:tblStylePr w:type="lastCol">
      <w:rPr>
        <w:color w:val="FFFFFF" w:themeColor="background1"/>
      </w:rPr>
      <w:tblPr/>
      <w:tcPr>
        <w:shd w:val="clear" w:color="auto" w:fill="808C1B" w:themeFill="accent4" w:themeFillShade="BF"/>
      </w:tcPr>
    </w:tblStylePr>
    <w:tblStylePr w:type="band1Vert">
      <w:tblPr/>
      <w:tcPr>
        <w:shd w:val="clear" w:color="auto" w:fill="DDE788" w:themeFill="accent4" w:themeFillTint="7F"/>
      </w:tcPr>
    </w:tblStylePr>
    <w:tblStylePr w:type="band1Horz">
      <w:tblPr/>
      <w:tcPr>
        <w:shd w:val="clear" w:color="auto" w:fill="DDE788" w:themeFill="accent4" w:themeFillTint="7F"/>
      </w:tcPr>
    </w:tblStylePr>
  </w:style>
  <w:style w:type="table" w:styleId="Grillecouleur-Accent5">
    <w:name w:val="Colorful Grid Accent 5"/>
    <w:basedOn w:val="Tableau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DCBC" w:themeFill="accent5" w:themeFillTint="33"/>
    </w:tcPr>
    <w:tblStylePr w:type="firstRow">
      <w:rPr>
        <w:b/>
        <w:bCs/>
      </w:rPr>
      <w:tblPr/>
      <w:tcPr>
        <w:shd w:val="clear" w:color="auto" w:fill="EEB97A" w:themeFill="accent5" w:themeFillTint="66"/>
      </w:tcPr>
    </w:tblStylePr>
    <w:tblStylePr w:type="lastRow">
      <w:rPr>
        <w:b/>
        <w:bCs/>
        <w:color w:val="000000" w:themeColor="text1"/>
      </w:rPr>
      <w:tblPr/>
      <w:tcPr>
        <w:shd w:val="clear" w:color="auto" w:fill="EEB97A" w:themeFill="accent5" w:themeFillTint="66"/>
      </w:tcPr>
    </w:tblStylePr>
    <w:tblStylePr w:type="firstCol">
      <w:rPr>
        <w:color w:val="FFFFFF" w:themeColor="background1"/>
      </w:rPr>
      <w:tblPr/>
      <w:tcPr>
        <w:shd w:val="clear" w:color="auto" w:fill="5C370B" w:themeFill="accent5" w:themeFillShade="BF"/>
      </w:tcPr>
    </w:tblStylePr>
    <w:tblStylePr w:type="lastCol">
      <w:rPr>
        <w:color w:val="FFFFFF" w:themeColor="background1"/>
      </w:rPr>
      <w:tblPr/>
      <w:tcPr>
        <w:shd w:val="clear" w:color="auto" w:fill="5C370B" w:themeFill="accent5" w:themeFillShade="BF"/>
      </w:tcPr>
    </w:tblStylePr>
    <w:tblStylePr w:type="band1Vert">
      <w:tblPr/>
      <w:tcPr>
        <w:shd w:val="clear" w:color="auto" w:fill="EAA859" w:themeFill="accent5" w:themeFillTint="7F"/>
      </w:tcPr>
    </w:tblStylePr>
    <w:tblStylePr w:type="band1Horz">
      <w:tblPr/>
      <w:tcPr>
        <w:shd w:val="clear" w:color="auto" w:fill="EAA859" w:themeFill="accent5" w:themeFillTint="7F"/>
      </w:tcPr>
    </w:tblStylePr>
  </w:style>
  <w:style w:type="table" w:styleId="Grillecouleur-Accent6">
    <w:name w:val="Colorful Grid Accent 6"/>
    <w:basedOn w:val="TableauNormal"/>
    <w:uiPriority w:val="73"/>
    <w:semiHidden/>
    <w:unhideWhenUsed/>
    <w:rsid w:val="00B57FC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1C6CB" w:themeFill="accent6" w:themeFillTint="33"/>
    </w:tcPr>
    <w:tblStylePr w:type="firstRow">
      <w:rPr>
        <w:b/>
        <w:bCs/>
      </w:rPr>
      <w:tblPr/>
      <w:tcPr>
        <w:shd w:val="clear" w:color="auto" w:fill="E38D98" w:themeFill="accent6" w:themeFillTint="66"/>
      </w:tcPr>
    </w:tblStylePr>
    <w:tblStylePr w:type="lastRow">
      <w:rPr>
        <w:b/>
        <w:bCs/>
        <w:color w:val="000000" w:themeColor="text1"/>
      </w:rPr>
      <w:tblPr/>
      <w:tcPr>
        <w:shd w:val="clear" w:color="auto" w:fill="E38D98" w:themeFill="accent6" w:themeFillTint="66"/>
      </w:tcPr>
    </w:tblStylePr>
    <w:tblStylePr w:type="firstCol">
      <w:rPr>
        <w:color w:val="FFFFFF" w:themeColor="background1"/>
      </w:rPr>
      <w:tblPr/>
      <w:tcPr>
        <w:shd w:val="clear" w:color="auto" w:fill="5F1720" w:themeFill="accent6" w:themeFillShade="BF"/>
      </w:tcPr>
    </w:tblStylePr>
    <w:tblStylePr w:type="lastCol">
      <w:rPr>
        <w:color w:val="FFFFFF" w:themeColor="background1"/>
      </w:rPr>
      <w:tblPr/>
      <w:tcPr>
        <w:shd w:val="clear" w:color="auto" w:fill="5F1720" w:themeFill="accent6" w:themeFillShade="BF"/>
      </w:tcPr>
    </w:tblStylePr>
    <w:tblStylePr w:type="band1Vert">
      <w:tblPr/>
      <w:tcPr>
        <w:shd w:val="clear" w:color="auto" w:fill="DD727F" w:themeFill="accent6" w:themeFillTint="7F"/>
      </w:tcPr>
    </w:tblStylePr>
    <w:tblStylePr w:type="band1Horz">
      <w:tblPr/>
      <w:tcPr>
        <w:shd w:val="clear" w:color="auto" w:fill="DD727F" w:themeFill="accent6" w:themeFillTint="7F"/>
      </w:tcPr>
    </w:tblStylePr>
  </w:style>
  <w:style w:type="table" w:styleId="Listecouleur">
    <w:name w:val="Colorful List"/>
    <w:basedOn w:val="TableauNormal"/>
    <w:uiPriority w:val="72"/>
    <w:semiHidden/>
    <w:unhideWhenUsed/>
    <w:rsid w:val="00B57FC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E8309" w:themeFill="accent2" w:themeFillShade="CC"/>
      </w:tcPr>
    </w:tblStylePr>
    <w:tblStylePr w:type="lastRow">
      <w:rPr>
        <w:b/>
        <w:bCs/>
        <w:color w:val="CE830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B57FC7"/>
    <w:pPr>
      <w:spacing w:after="0" w:line="240" w:lineRule="auto"/>
    </w:pPr>
    <w:rPr>
      <w:color w:val="000000" w:themeColor="text1"/>
    </w:rPr>
    <w:tblPr>
      <w:tblStyleRowBandSize w:val="1"/>
      <w:tblStyleColBandSize w:val="1"/>
    </w:tblPr>
    <w:tcPr>
      <w:shd w:val="clear" w:color="auto" w:fill="FDECEB" w:themeFill="accent1" w:themeFillTint="19"/>
    </w:tcPr>
    <w:tblStylePr w:type="firstRow">
      <w:rPr>
        <w:b/>
        <w:bCs/>
        <w:color w:val="FFFFFF" w:themeColor="background1"/>
      </w:rPr>
      <w:tblPr/>
      <w:tcPr>
        <w:tcBorders>
          <w:bottom w:val="single" w:sz="12" w:space="0" w:color="FFFFFF" w:themeColor="background1"/>
        </w:tcBorders>
        <w:shd w:val="clear" w:color="auto" w:fill="CE8309" w:themeFill="accent2" w:themeFillShade="CC"/>
      </w:tcPr>
    </w:tblStylePr>
    <w:tblStylePr w:type="lastRow">
      <w:rPr>
        <w:b/>
        <w:bCs/>
        <w:color w:val="CE830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FCD" w:themeFill="accent1" w:themeFillTint="3F"/>
      </w:tcPr>
    </w:tblStylePr>
    <w:tblStylePr w:type="band1Horz">
      <w:tblPr/>
      <w:tcPr>
        <w:shd w:val="clear" w:color="auto" w:fill="FBD8D6" w:themeFill="accent1" w:themeFillTint="33"/>
      </w:tcPr>
    </w:tblStylePr>
  </w:style>
  <w:style w:type="table" w:styleId="Listecouleur-Accent2">
    <w:name w:val="Colorful List Accent 2"/>
    <w:basedOn w:val="TableauNormal"/>
    <w:uiPriority w:val="72"/>
    <w:semiHidden/>
    <w:unhideWhenUsed/>
    <w:rsid w:val="00B57FC7"/>
    <w:pPr>
      <w:spacing w:after="0" w:line="240" w:lineRule="auto"/>
    </w:pPr>
    <w:rPr>
      <w:color w:val="000000" w:themeColor="text1"/>
    </w:rPr>
    <w:tblPr>
      <w:tblStyleRowBandSize w:val="1"/>
      <w:tblStyleColBandSize w:val="1"/>
    </w:tblPr>
    <w:tcPr>
      <w:shd w:val="clear" w:color="auto" w:fill="FEF5E8" w:themeFill="accent2" w:themeFillTint="19"/>
    </w:tcPr>
    <w:tblStylePr w:type="firstRow">
      <w:rPr>
        <w:b/>
        <w:bCs/>
        <w:color w:val="FFFFFF" w:themeColor="background1"/>
      </w:rPr>
      <w:tblPr/>
      <w:tcPr>
        <w:tcBorders>
          <w:bottom w:val="single" w:sz="12" w:space="0" w:color="FFFFFF" w:themeColor="background1"/>
        </w:tcBorders>
        <w:shd w:val="clear" w:color="auto" w:fill="CE8309" w:themeFill="accent2" w:themeFillShade="CC"/>
      </w:tcPr>
    </w:tblStylePr>
    <w:tblStylePr w:type="lastRow">
      <w:rPr>
        <w:b/>
        <w:bCs/>
        <w:color w:val="CE830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7C6" w:themeFill="accent2" w:themeFillTint="3F"/>
      </w:tcPr>
    </w:tblStylePr>
    <w:tblStylePr w:type="band1Horz">
      <w:tblPr/>
      <w:tcPr>
        <w:shd w:val="clear" w:color="auto" w:fill="FDECD1" w:themeFill="accent2" w:themeFillTint="33"/>
      </w:tcPr>
    </w:tblStylePr>
  </w:style>
  <w:style w:type="table" w:styleId="Listecouleur-Accent3">
    <w:name w:val="Colorful List Accent 3"/>
    <w:basedOn w:val="TableauNormal"/>
    <w:uiPriority w:val="72"/>
    <w:semiHidden/>
    <w:unhideWhenUsed/>
    <w:rsid w:val="00B57FC7"/>
    <w:pPr>
      <w:spacing w:after="0" w:line="240" w:lineRule="auto"/>
    </w:pPr>
    <w:rPr>
      <w:color w:val="000000" w:themeColor="text1"/>
    </w:rPr>
    <w:tblPr>
      <w:tblStyleRowBandSize w:val="1"/>
      <w:tblStyleColBandSize w:val="1"/>
    </w:tblPr>
    <w:tcPr>
      <w:shd w:val="clear" w:color="auto" w:fill="FCEEE7" w:themeFill="accent3" w:themeFillTint="19"/>
    </w:tcPr>
    <w:tblStylePr w:type="firstRow">
      <w:rPr>
        <w:b/>
        <w:bCs/>
        <w:color w:val="FFFFFF" w:themeColor="background1"/>
      </w:rPr>
      <w:tblPr/>
      <w:tcPr>
        <w:tcBorders>
          <w:bottom w:val="single" w:sz="12" w:space="0" w:color="FFFFFF" w:themeColor="background1"/>
        </w:tcBorders>
        <w:shd w:val="clear" w:color="auto" w:fill="89961D" w:themeFill="accent4" w:themeFillShade="CC"/>
      </w:tcPr>
    </w:tblStylePr>
    <w:tblStylePr w:type="lastRow">
      <w:rPr>
        <w:b/>
        <w:bCs/>
        <w:color w:val="8996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C4" w:themeFill="accent3" w:themeFillTint="3F"/>
      </w:tcPr>
    </w:tblStylePr>
    <w:tblStylePr w:type="band1Horz">
      <w:tblPr/>
      <w:tcPr>
        <w:shd w:val="clear" w:color="auto" w:fill="F9DDCF" w:themeFill="accent3" w:themeFillTint="33"/>
      </w:tcPr>
    </w:tblStylePr>
  </w:style>
  <w:style w:type="table" w:styleId="Listecouleur-Accent4">
    <w:name w:val="Colorful List Accent 4"/>
    <w:basedOn w:val="TableauNormal"/>
    <w:uiPriority w:val="72"/>
    <w:semiHidden/>
    <w:unhideWhenUsed/>
    <w:rsid w:val="00B57FC7"/>
    <w:pPr>
      <w:spacing w:after="0" w:line="240" w:lineRule="auto"/>
    </w:pPr>
    <w:rPr>
      <w:color w:val="000000" w:themeColor="text1"/>
    </w:rPr>
    <w:tblPr>
      <w:tblStyleRowBandSize w:val="1"/>
      <w:tblStyleColBandSize w:val="1"/>
    </w:tblPr>
    <w:tcPr>
      <w:shd w:val="clear" w:color="auto" w:fill="F8FAE7" w:themeFill="accent4" w:themeFillTint="19"/>
    </w:tcPr>
    <w:tblStylePr w:type="firstRow">
      <w:rPr>
        <w:b/>
        <w:bCs/>
        <w:color w:val="FFFFFF" w:themeColor="background1"/>
      </w:rPr>
      <w:tblPr/>
      <w:tcPr>
        <w:tcBorders>
          <w:bottom w:val="single" w:sz="12" w:space="0" w:color="FFFFFF" w:themeColor="background1"/>
        </w:tcBorders>
        <w:shd w:val="clear" w:color="auto" w:fill="B14814" w:themeFill="accent3" w:themeFillShade="CC"/>
      </w:tcPr>
    </w:tblStylePr>
    <w:tblStylePr w:type="lastRow">
      <w:rPr>
        <w:b/>
        <w:bCs/>
        <w:color w:val="B1481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3C3" w:themeFill="accent4" w:themeFillTint="3F"/>
      </w:tcPr>
    </w:tblStylePr>
    <w:tblStylePr w:type="band1Horz">
      <w:tblPr/>
      <w:tcPr>
        <w:shd w:val="clear" w:color="auto" w:fill="F1F5CF" w:themeFill="accent4" w:themeFillTint="33"/>
      </w:tcPr>
    </w:tblStylePr>
  </w:style>
  <w:style w:type="table" w:styleId="Listecouleur-Accent5">
    <w:name w:val="Colorful List Accent 5"/>
    <w:basedOn w:val="TableauNormal"/>
    <w:uiPriority w:val="72"/>
    <w:semiHidden/>
    <w:unhideWhenUsed/>
    <w:rsid w:val="00B57FC7"/>
    <w:pPr>
      <w:spacing w:after="0" w:line="240" w:lineRule="auto"/>
    </w:pPr>
    <w:rPr>
      <w:color w:val="000000" w:themeColor="text1"/>
    </w:rPr>
    <w:tblPr>
      <w:tblStyleRowBandSize w:val="1"/>
      <w:tblStyleColBandSize w:val="1"/>
    </w:tblPr>
    <w:tcPr>
      <w:shd w:val="clear" w:color="auto" w:fill="FBEDDE" w:themeFill="accent5" w:themeFillTint="19"/>
    </w:tcPr>
    <w:tblStylePr w:type="firstRow">
      <w:rPr>
        <w:b/>
        <w:bCs/>
        <w:color w:val="FFFFFF" w:themeColor="background1"/>
      </w:rPr>
      <w:tblPr/>
      <w:tcPr>
        <w:tcBorders>
          <w:bottom w:val="single" w:sz="12" w:space="0" w:color="FFFFFF" w:themeColor="background1"/>
        </w:tcBorders>
        <w:shd w:val="clear" w:color="auto" w:fill="661822" w:themeFill="accent6" w:themeFillShade="CC"/>
      </w:tcPr>
    </w:tblStylePr>
    <w:tblStylePr w:type="lastRow">
      <w:rPr>
        <w:b/>
        <w:bCs/>
        <w:color w:val="66182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4AD" w:themeFill="accent5" w:themeFillTint="3F"/>
      </w:tcPr>
    </w:tblStylePr>
    <w:tblStylePr w:type="band1Horz">
      <w:tblPr/>
      <w:tcPr>
        <w:shd w:val="clear" w:color="auto" w:fill="F7DCBC" w:themeFill="accent5" w:themeFillTint="33"/>
      </w:tcPr>
    </w:tblStylePr>
  </w:style>
  <w:style w:type="table" w:styleId="Listecouleur-Accent6">
    <w:name w:val="Colorful List Accent 6"/>
    <w:basedOn w:val="TableauNormal"/>
    <w:uiPriority w:val="72"/>
    <w:semiHidden/>
    <w:unhideWhenUsed/>
    <w:rsid w:val="00B57FC7"/>
    <w:pPr>
      <w:spacing w:after="0" w:line="240" w:lineRule="auto"/>
    </w:pPr>
    <w:rPr>
      <w:color w:val="000000" w:themeColor="text1"/>
    </w:rPr>
    <w:tblPr>
      <w:tblStyleRowBandSize w:val="1"/>
      <w:tblStyleColBandSize w:val="1"/>
    </w:tblPr>
    <w:tcPr>
      <w:shd w:val="clear" w:color="auto" w:fill="F8E3E5" w:themeFill="accent6" w:themeFillTint="19"/>
    </w:tcPr>
    <w:tblStylePr w:type="firstRow">
      <w:rPr>
        <w:b/>
        <w:bCs/>
        <w:color w:val="FFFFFF" w:themeColor="background1"/>
      </w:rPr>
      <w:tblPr/>
      <w:tcPr>
        <w:tcBorders>
          <w:bottom w:val="single" w:sz="12" w:space="0" w:color="FFFFFF" w:themeColor="background1"/>
        </w:tcBorders>
        <w:shd w:val="clear" w:color="auto" w:fill="623B0C" w:themeFill="accent5" w:themeFillShade="CC"/>
      </w:tcPr>
    </w:tblStylePr>
    <w:tblStylePr w:type="lastRow">
      <w:rPr>
        <w:b/>
        <w:bCs/>
        <w:color w:val="623B0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B8BF" w:themeFill="accent6" w:themeFillTint="3F"/>
      </w:tcPr>
    </w:tblStylePr>
    <w:tblStylePr w:type="band1Horz">
      <w:tblPr/>
      <w:tcPr>
        <w:shd w:val="clear" w:color="auto" w:fill="F1C6CB" w:themeFill="accent6" w:themeFillTint="33"/>
      </w:tcPr>
    </w:tblStylePr>
  </w:style>
  <w:style w:type="table" w:styleId="Tramecouleur">
    <w:name w:val="Colorful Shading"/>
    <w:basedOn w:val="TableauNormal"/>
    <w:uiPriority w:val="71"/>
    <w:semiHidden/>
    <w:unhideWhenUsed/>
    <w:rsid w:val="00B57FC7"/>
    <w:pPr>
      <w:spacing w:after="0" w:line="240" w:lineRule="auto"/>
    </w:pPr>
    <w:rPr>
      <w:color w:val="000000" w:themeColor="text1"/>
    </w:rPr>
    <w:tblPr>
      <w:tblStyleRowBandSize w:val="1"/>
      <w:tblStyleColBandSize w:val="1"/>
      <w:tblBorders>
        <w:top w:val="single" w:sz="24" w:space="0" w:color="F5A21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5A21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B57FC7"/>
    <w:pPr>
      <w:spacing w:after="0" w:line="240" w:lineRule="auto"/>
    </w:pPr>
    <w:rPr>
      <w:color w:val="000000" w:themeColor="text1"/>
    </w:rPr>
    <w:tblPr>
      <w:tblStyleRowBandSize w:val="1"/>
      <w:tblStyleColBandSize w:val="1"/>
      <w:tblBorders>
        <w:top w:val="single" w:sz="24" w:space="0" w:color="F5A219" w:themeColor="accent2"/>
        <w:left w:val="single" w:sz="4" w:space="0" w:color="ED4136" w:themeColor="accent1"/>
        <w:bottom w:val="single" w:sz="4" w:space="0" w:color="ED4136" w:themeColor="accent1"/>
        <w:right w:val="single" w:sz="4" w:space="0" w:color="ED4136" w:themeColor="accent1"/>
        <w:insideH w:val="single" w:sz="4" w:space="0" w:color="FFFFFF" w:themeColor="background1"/>
        <w:insideV w:val="single" w:sz="4" w:space="0" w:color="FFFFFF" w:themeColor="background1"/>
      </w:tblBorders>
    </w:tblPr>
    <w:tcPr>
      <w:shd w:val="clear" w:color="auto" w:fill="FDECEB" w:themeFill="accent1" w:themeFillTint="19"/>
    </w:tcPr>
    <w:tblStylePr w:type="firstRow">
      <w:rPr>
        <w:b/>
        <w:bCs/>
      </w:rPr>
      <w:tblPr/>
      <w:tcPr>
        <w:tcBorders>
          <w:top w:val="nil"/>
          <w:left w:val="nil"/>
          <w:bottom w:val="single" w:sz="24" w:space="0" w:color="F5A21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170E" w:themeFill="accent1" w:themeFillShade="99"/>
      </w:tcPr>
    </w:tblStylePr>
    <w:tblStylePr w:type="firstCol">
      <w:rPr>
        <w:color w:val="FFFFFF" w:themeColor="background1"/>
      </w:rPr>
      <w:tblPr/>
      <w:tcPr>
        <w:tcBorders>
          <w:top w:val="nil"/>
          <w:left w:val="nil"/>
          <w:bottom w:val="nil"/>
          <w:right w:val="nil"/>
          <w:insideH w:val="single" w:sz="4" w:space="0" w:color="9F170E" w:themeColor="accent1" w:themeShade="99"/>
          <w:insideV w:val="nil"/>
        </w:tcBorders>
        <w:shd w:val="clear" w:color="auto" w:fill="9F170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F170E" w:themeFill="accent1" w:themeFillShade="99"/>
      </w:tcPr>
    </w:tblStylePr>
    <w:tblStylePr w:type="band1Vert">
      <w:tblPr/>
      <w:tcPr>
        <w:shd w:val="clear" w:color="auto" w:fill="F7B2AE" w:themeFill="accent1" w:themeFillTint="66"/>
      </w:tcPr>
    </w:tblStylePr>
    <w:tblStylePr w:type="band1Horz">
      <w:tblPr/>
      <w:tcPr>
        <w:shd w:val="clear" w:color="auto" w:fill="F6A09A"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B57FC7"/>
    <w:pPr>
      <w:spacing w:after="0" w:line="240" w:lineRule="auto"/>
    </w:pPr>
    <w:rPr>
      <w:color w:val="000000" w:themeColor="text1"/>
    </w:rPr>
    <w:tblPr>
      <w:tblStyleRowBandSize w:val="1"/>
      <w:tblStyleColBandSize w:val="1"/>
      <w:tblBorders>
        <w:top w:val="single" w:sz="24" w:space="0" w:color="F5A219" w:themeColor="accent2"/>
        <w:left w:val="single" w:sz="4" w:space="0" w:color="F5A219" w:themeColor="accent2"/>
        <w:bottom w:val="single" w:sz="4" w:space="0" w:color="F5A219" w:themeColor="accent2"/>
        <w:right w:val="single" w:sz="4" w:space="0" w:color="F5A219" w:themeColor="accent2"/>
        <w:insideH w:val="single" w:sz="4" w:space="0" w:color="FFFFFF" w:themeColor="background1"/>
        <w:insideV w:val="single" w:sz="4" w:space="0" w:color="FFFFFF" w:themeColor="background1"/>
      </w:tblBorders>
    </w:tblPr>
    <w:tcPr>
      <w:shd w:val="clear" w:color="auto" w:fill="FEF5E8" w:themeFill="accent2" w:themeFillTint="19"/>
    </w:tcPr>
    <w:tblStylePr w:type="firstRow">
      <w:rPr>
        <w:b/>
        <w:bCs/>
      </w:rPr>
      <w:tblPr/>
      <w:tcPr>
        <w:tcBorders>
          <w:top w:val="nil"/>
          <w:left w:val="nil"/>
          <w:bottom w:val="single" w:sz="24" w:space="0" w:color="F5A21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6206" w:themeFill="accent2" w:themeFillShade="99"/>
      </w:tcPr>
    </w:tblStylePr>
    <w:tblStylePr w:type="firstCol">
      <w:rPr>
        <w:color w:val="FFFFFF" w:themeColor="background1"/>
      </w:rPr>
      <w:tblPr/>
      <w:tcPr>
        <w:tcBorders>
          <w:top w:val="nil"/>
          <w:left w:val="nil"/>
          <w:bottom w:val="nil"/>
          <w:right w:val="nil"/>
          <w:insideH w:val="single" w:sz="4" w:space="0" w:color="9B6206" w:themeColor="accent2" w:themeShade="99"/>
          <w:insideV w:val="nil"/>
        </w:tcBorders>
        <w:shd w:val="clear" w:color="auto" w:fill="9B620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B6206" w:themeFill="accent2" w:themeFillShade="99"/>
      </w:tcPr>
    </w:tblStylePr>
    <w:tblStylePr w:type="band1Vert">
      <w:tblPr/>
      <w:tcPr>
        <w:shd w:val="clear" w:color="auto" w:fill="FBD9A3" w:themeFill="accent2" w:themeFillTint="66"/>
      </w:tcPr>
    </w:tblStylePr>
    <w:tblStylePr w:type="band1Horz">
      <w:tblPr/>
      <w:tcPr>
        <w:shd w:val="clear" w:color="auto" w:fill="FAD08C"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B57FC7"/>
    <w:pPr>
      <w:spacing w:after="0" w:line="240" w:lineRule="auto"/>
    </w:pPr>
    <w:rPr>
      <w:color w:val="000000" w:themeColor="text1"/>
    </w:rPr>
    <w:tblPr>
      <w:tblStyleRowBandSize w:val="1"/>
      <w:tblStyleColBandSize w:val="1"/>
      <w:tblBorders>
        <w:top w:val="single" w:sz="24" w:space="0" w:color="ACBC25" w:themeColor="accent4"/>
        <w:left w:val="single" w:sz="4" w:space="0" w:color="DE5B19" w:themeColor="accent3"/>
        <w:bottom w:val="single" w:sz="4" w:space="0" w:color="DE5B19" w:themeColor="accent3"/>
        <w:right w:val="single" w:sz="4" w:space="0" w:color="DE5B19" w:themeColor="accent3"/>
        <w:insideH w:val="single" w:sz="4" w:space="0" w:color="FFFFFF" w:themeColor="background1"/>
        <w:insideV w:val="single" w:sz="4" w:space="0" w:color="FFFFFF" w:themeColor="background1"/>
      </w:tblBorders>
    </w:tblPr>
    <w:tcPr>
      <w:shd w:val="clear" w:color="auto" w:fill="FCEEE7" w:themeFill="accent3" w:themeFillTint="19"/>
    </w:tcPr>
    <w:tblStylePr w:type="firstRow">
      <w:rPr>
        <w:b/>
        <w:bCs/>
      </w:rPr>
      <w:tblPr/>
      <w:tcPr>
        <w:tcBorders>
          <w:top w:val="nil"/>
          <w:left w:val="nil"/>
          <w:bottom w:val="single" w:sz="24" w:space="0" w:color="ACBC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60F" w:themeFill="accent3" w:themeFillShade="99"/>
      </w:tcPr>
    </w:tblStylePr>
    <w:tblStylePr w:type="firstCol">
      <w:rPr>
        <w:color w:val="FFFFFF" w:themeColor="background1"/>
      </w:rPr>
      <w:tblPr/>
      <w:tcPr>
        <w:tcBorders>
          <w:top w:val="nil"/>
          <w:left w:val="nil"/>
          <w:bottom w:val="nil"/>
          <w:right w:val="nil"/>
          <w:insideH w:val="single" w:sz="4" w:space="0" w:color="85360F" w:themeColor="accent3" w:themeShade="99"/>
          <w:insideV w:val="nil"/>
        </w:tcBorders>
        <w:shd w:val="clear" w:color="auto" w:fill="85360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360F" w:themeFill="accent3" w:themeFillShade="99"/>
      </w:tcPr>
    </w:tblStylePr>
    <w:tblStylePr w:type="band1Vert">
      <w:tblPr/>
      <w:tcPr>
        <w:shd w:val="clear" w:color="auto" w:fill="F4BCA0" w:themeFill="accent3" w:themeFillTint="66"/>
      </w:tcPr>
    </w:tblStylePr>
    <w:tblStylePr w:type="band1Horz">
      <w:tblPr/>
      <w:tcPr>
        <w:shd w:val="clear" w:color="auto" w:fill="F1AC89" w:themeFill="accent3" w:themeFillTint="7F"/>
      </w:tcPr>
    </w:tblStylePr>
  </w:style>
  <w:style w:type="table" w:styleId="Tramecouleur-Accent4">
    <w:name w:val="Colorful Shading Accent 4"/>
    <w:basedOn w:val="TableauNormal"/>
    <w:uiPriority w:val="71"/>
    <w:semiHidden/>
    <w:unhideWhenUsed/>
    <w:rsid w:val="00B57FC7"/>
    <w:pPr>
      <w:spacing w:after="0" w:line="240" w:lineRule="auto"/>
    </w:pPr>
    <w:rPr>
      <w:color w:val="000000" w:themeColor="text1"/>
    </w:rPr>
    <w:tblPr>
      <w:tblStyleRowBandSize w:val="1"/>
      <w:tblStyleColBandSize w:val="1"/>
      <w:tblBorders>
        <w:top w:val="single" w:sz="24" w:space="0" w:color="DE5B19" w:themeColor="accent3"/>
        <w:left w:val="single" w:sz="4" w:space="0" w:color="ACBC25" w:themeColor="accent4"/>
        <w:bottom w:val="single" w:sz="4" w:space="0" w:color="ACBC25" w:themeColor="accent4"/>
        <w:right w:val="single" w:sz="4" w:space="0" w:color="ACBC25" w:themeColor="accent4"/>
        <w:insideH w:val="single" w:sz="4" w:space="0" w:color="FFFFFF" w:themeColor="background1"/>
        <w:insideV w:val="single" w:sz="4" w:space="0" w:color="FFFFFF" w:themeColor="background1"/>
      </w:tblBorders>
    </w:tblPr>
    <w:tcPr>
      <w:shd w:val="clear" w:color="auto" w:fill="F8FAE7" w:themeFill="accent4" w:themeFillTint="19"/>
    </w:tcPr>
    <w:tblStylePr w:type="firstRow">
      <w:rPr>
        <w:b/>
        <w:bCs/>
      </w:rPr>
      <w:tblPr/>
      <w:tcPr>
        <w:tcBorders>
          <w:top w:val="nil"/>
          <w:left w:val="nil"/>
          <w:bottom w:val="single" w:sz="24" w:space="0" w:color="DE5B1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16" w:themeFill="accent4" w:themeFillShade="99"/>
      </w:tcPr>
    </w:tblStylePr>
    <w:tblStylePr w:type="firstCol">
      <w:rPr>
        <w:color w:val="FFFFFF" w:themeColor="background1"/>
      </w:rPr>
      <w:tblPr/>
      <w:tcPr>
        <w:tcBorders>
          <w:top w:val="nil"/>
          <w:left w:val="nil"/>
          <w:bottom w:val="nil"/>
          <w:right w:val="nil"/>
          <w:insideH w:val="single" w:sz="4" w:space="0" w:color="667016" w:themeColor="accent4" w:themeShade="99"/>
          <w:insideV w:val="nil"/>
        </w:tcBorders>
        <w:shd w:val="clear" w:color="auto" w:fill="6670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7016" w:themeFill="accent4" w:themeFillShade="99"/>
      </w:tcPr>
    </w:tblStylePr>
    <w:tblStylePr w:type="band1Vert">
      <w:tblPr/>
      <w:tcPr>
        <w:shd w:val="clear" w:color="auto" w:fill="E3EC9F" w:themeFill="accent4" w:themeFillTint="66"/>
      </w:tcPr>
    </w:tblStylePr>
    <w:tblStylePr w:type="band1Horz">
      <w:tblPr/>
      <w:tcPr>
        <w:shd w:val="clear" w:color="auto" w:fill="DDE788"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B57FC7"/>
    <w:pPr>
      <w:spacing w:after="0" w:line="240" w:lineRule="auto"/>
    </w:pPr>
    <w:rPr>
      <w:color w:val="000000" w:themeColor="text1"/>
    </w:rPr>
    <w:tblPr>
      <w:tblStyleRowBandSize w:val="1"/>
      <w:tblStyleColBandSize w:val="1"/>
      <w:tblBorders>
        <w:top w:val="single" w:sz="24" w:space="0" w:color="801F2B" w:themeColor="accent6"/>
        <w:left w:val="single" w:sz="4" w:space="0" w:color="7B4A0F" w:themeColor="accent5"/>
        <w:bottom w:val="single" w:sz="4" w:space="0" w:color="7B4A0F" w:themeColor="accent5"/>
        <w:right w:val="single" w:sz="4" w:space="0" w:color="7B4A0F" w:themeColor="accent5"/>
        <w:insideH w:val="single" w:sz="4" w:space="0" w:color="FFFFFF" w:themeColor="background1"/>
        <w:insideV w:val="single" w:sz="4" w:space="0" w:color="FFFFFF" w:themeColor="background1"/>
      </w:tblBorders>
    </w:tblPr>
    <w:tcPr>
      <w:shd w:val="clear" w:color="auto" w:fill="FBEDDE" w:themeFill="accent5" w:themeFillTint="19"/>
    </w:tcPr>
    <w:tblStylePr w:type="firstRow">
      <w:rPr>
        <w:b/>
        <w:bCs/>
      </w:rPr>
      <w:tblPr/>
      <w:tcPr>
        <w:tcBorders>
          <w:top w:val="nil"/>
          <w:left w:val="nil"/>
          <w:bottom w:val="single" w:sz="24" w:space="0" w:color="801F2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2C09" w:themeFill="accent5" w:themeFillShade="99"/>
      </w:tcPr>
    </w:tblStylePr>
    <w:tblStylePr w:type="firstCol">
      <w:rPr>
        <w:color w:val="FFFFFF" w:themeColor="background1"/>
      </w:rPr>
      <w:tblPr/>
      <w:tcPr>
        <w:tcBorders>
          <w:top w:val="nil"/>
          <w:left w:val="nil"/>
          <w:bottom w:val="nil"/>
          <w:right w:val="nil"/>
          <w:insideH w:val="single" w:sz="4" w:space="0" w:color="492C09" w:themeColor="accent5" w:themeShade="99"/>
          <w:insideV w:val="nil"/>
        </w:tcBorders>
        <w:shd w:val="clear" w:color="auto" w:fill="492C0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2C09" w:themeFill="accent5" w:themeFillShade="99"/>
      </w:tcPr>
    </w:tblStylePr>
    <w:tblStylePr w:type="band1Vert">
      <w:tblPr/>
      <w:tcPr>
        <w:shd w:val="clear" w:color="auto" w:fill="EEB97A" w:themeFill="accent5" w:themeFillTint="66"/>
      </w:tcPr>
    </w:tblStylePr>
    <w:tblStylePr w:type="band1Horz">
      <w:tblPr/>
      <w:tcPr>
        <w:shd w:val="clear" w:color="auto" w:fill="EAA859"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B57FC7"/>
    <w:pPr>
      <w:spacing w:after="0" w:line="240" w:lineRule="auto"/>
    </w:pPr>
    <w:rPr>
      <w:color w:val="000000" w:themeColor="text1"/>
    </w:rPr>
    <w:tblPr>
      <w:tblStyleRowBandSize w:val="1"/>
      <w:tblStyleColBandSize w:val="1"/>
      <w:tblBorders>
        <w:top w:val="single" w:sz="24" w:space="0" w:color="7B4A0F" w:themeColor="accent5"/>
        <w:left w:val="single" w:sz="4" w:space="0" w:color="801F2B" w:themeColor="accent6"/>
        <w:bottom w:val="single" w:sz="4" w:space="0" w:color="801F2B" w:themeColor="accent6"/>
        <w:right w:val="single" w:sz="4" w:space="0" w:color="801F2B" w:themeColor="accent6"/>
        <w:insideH w:val="single" w:sz="4" w:space="0" w:color="FFFFFF" w:themeColor="background1"/>
        <w:insideV w:val="single" w:sz="4" w:space="0" w:color="FFFFFF" w:themeColor="background1"/>
      </w:tblBorders>
    </w:tblPr>
    <w:tcPr>
      <w:shd w:val="clear" w:color="auto" w:fill="F8E3E5" w:themeFill="accent6" w:themeFillTint="19"/>
    </w:tcPr>
    <w:tblStylePr w:type="firstRow">
      <w:rPr>
        <w:b/>
        <w:bCs/>
      </w:rPr>
      <w:tblPr/>
      <w:tcPr>
        <w:tcBorders>
          <w:top w:val="nil"/>
          <w:left w:val="nil"/>
          <w:bottom w:val="single" w:sz="24" w:space="0" w:color="7B4A0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1219" w:themeFill="accent6" w:themeFillShade="99"/>
      </w:tcPr>
    </w:tblStylePr>
    <w:tblStylePr w:type="firstCol">
      <w:rPr>
        <w:color w:val="FFFFFF" w:themeColor="background1"/>
      </w:rPr>
      <w:tblPr/>
      <w:tcPr>
        <w:tcBorders>
          <w:top w:val="nil"/>
          <w:left w:val="nil"/>
          <w:bottom w:val="nil"/>
          <w:right w:val="nil"/>
          <w:insideH w:val="single" w:sz="4" w:space="0" w:color="4C1219" w:themeColor="accent6" w:themeShade="99"/>
          <w:insideV w:val="nil"/>
        </w:tcBorders>
        <w:shd w:val="clear" w:color="auto" w:fill="4C121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1219" w:themeFill="accent6" w:themeFillShade="99"/>
      </w:tcPr>
    </w:tblStylePr>
    <w:tblStylePr w:type="band1Vert">
      <w:tblPr/>
      <w:tcPr>
        <w:shd w:val="clear" w:color="auto" w:fill="E38D98" w:themeFill="accent6" w:themeFillTint="66"/>
      </w:tcPr>
    </w:tblStylePr>
    <w:tblStylePr w:type="band1Horz">
      <w:tblPr/>
      <w:tcPr>
        <w:shd w:val="clear" w:color="auto" w:fill="DD727F" w:themeFill="accent6" w:themeFillTint="7F"/>
      </w:tcPr>
    </w:tblStylePr>
    <w:tblStylePr w:type="neCell">
      <w:rPr>
        <w:color w:val="000000" w:themeColor="text1"/>
      </w:rPr>
    </w:tblStylePr>
    <w:tblStylePr w:type="nwCell">
      <w:rPr>
        <w:color w:val="000000" w:themeColor="text1"/>
      </w:rPr>
    </w:tblStylePr>
  </w:style>
  <w:style w:type="character" w:styleId="Marquedecommentaire">
    <w:name w:val="annotation reference"/>
    <w:basedOn w:val="Policepardfaut"/>
    <w:uiPriority w:val="99"/>
    <w:semiHidden/>
    <w:unhideWhenUsed/>
    <w:rsid w:val="00B57FC7"/>
    <w:rPr>
      <w:sz w:val="22"/>
      <w:szCs w:val="16"/>
    </w:rPr>
  </w:style>
  <w:style w:type="paragraph" w:styleId="Commentaire">
    <w:name w:val="annotation text"/>
    <w:basedOn w:val="Normal"/>
    <w:link w:val="CommentaireCar"/>
    <w:uiPriority w:val="99"/>
    <w:semiHidden/>
    <w:unhideWhenUsed/>
    <w:rsid w:val="00B57FC7"/>
    <w:pPr>
      <w:spacing w:line="240" w:lineRule="auto"/>
    </w:pPr>
    <w:rPr>
      <w:sz w:val="22"/>
      <w:szCs w:val="20"/>
    </w:rPr>
  </w:style>
  <w:style w:type="character" w:customStyle="1" w:styleId="CommentaireCar">
    <w:name w:val="Commentaire Car"/>
    <w:basedOn w:val="Policepardfaut"/>
    <w:link w:val="Commentaire"/>
    <w:uiPriority w:val="99"/>
    <w:semiHidden/>
    <w:rsid w:val="00B57FC7"/>
    <w:rPr>
      <w:sz w:val="22"/>
      <w:szCs w:val="20"/>
    </w:rPr>
  </w:style>
  <w:style w:type="paragraph" w:styleId="Objetducommentaire">
    <w:name w:val="annotation subject"/>
    <w:basedOn w:val="Commentaire"/>
    <w:next w:val="Commentaire"/>
    <w:link w:val="ObjetducommentaireCar"/>
    <w:uiPriority w:val="99"/>
    <w:semiHidden/>
    <w:unhideWhenUsed/>
    <w:rsid w:val="00B57FC7"/>
    <w:rPr>
      <w:b/>
      <w:bCs/>
    </w:rPr>
  </w:style>
  <w:style w:type="character" w:customStyle="1" w:styleId="ObjetducommentaireCar">
    <w:name w:val="Objet du commentaire Car"/>
    <w:basedOn w:val="CommentaireCar"/>
    <w:link w:val="Objetducommentaire"/>
    <w:uiPriority w:val="99"/>
    <w:semiHidden/>
    <w:rsid w:val="00B57FC7"/>
    <w:rPr>
      <w:b/>
      <w:bCs/>
      <w:sz w:val="22"/>
      <w:szCs w:val="20"/>
    </w:rPr>
  </w:style>
  <w:style w:type="table" w:styleId="Listefonce">
    <w:name w:val="Dark List"/>
    <w:basedOn w:val="TableauNormal"/>
    <w:uiPriority w:val="70"/>
    <w:semiHidden/>
    <w:unhideWhenUsed/>
    <w:rsid w:val="00B57FC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B57FC7"/>
    <w:pPr>
      <w:spacing w:after="0" w:line="240" w:lineRule="auto"/>
    </w:pPr>
    <w:rPr>
      <w:color w:val="FFFFFF" w:themeColor="background1"/>
    </w:rPr>
    <w:tblPr>
      <w:tblStyleRowBandSize w:val="1"/>
      <w:tblStyleColBandSize w:val="1"/>
    </w:tblPr>
    <w:tcPr>
      <w:shd w:val="clear" w:color="auto" w:fill="ED413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130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71C1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71C12" w:themeFill="accent1" w:themeFillShade="BF"/>
      </w:tcPr>
    </w:tblStylePr>
    <w:tblStylePr w:type="band1Vert">
      <w:tblPr/>
      <w:tcPr>
        <w:tcBorders>
          <w:top w:val="nil"/>
          <w:left w:val="nil"/>
          <w:bottom w:val="nil"/>
          <w:right w:val="nil"/>
          <w:insideH w:val="nil"/>
          <w:insideV w:val="nil"/>
        </w:tcBorders>
        <w:shd w:val="clear" w:color="auto" w:fill="C71C12" w:themeFill="accent1" w:themeFillShade="BF"/>
      </w:tcPr>
    </w:tblStylePr>
    <w:tblStylePr w:type="band1Horz">
      <w:tblPr/>
      <w:tcPr>
        <w:tcBorders>
          <w:top w:val="nil"/>
          <w:left w:val="nil"/>
          <w:bottom w:val="nil"/>
          <w:right w:val="nil"/>
          <w:insideH w:val="nil"/>
          <w:insideV w:val="nil"/>
        </w:tcBorders>
        <w:shd w:val="clear" w:color="auto" w:fill="C71C12" w:themeFill="accent1" w:themeFillShade="BF"/>
      </w:tcPr>
    </w:tblStylePr>
  </w:style>
  <w:style w:type="table" w:styleId="Listefonce-Accent2">
    <w:name w:val="Dark List Accent 2"/>
    <w:basedOn w:val="TableauNormal"/>
    <w:uiPriority w:val="70"/>
    <w:semiHidden/>
    <w:unhideWhenUsed/>
    <w:rsid w:val="00B57FC7"/>
    <w:pPr>
      <w:spacing w:after="0" w:line="240" w:lineRule="auto"/>
    </w:pPr>
    <w:rPr>
      <w:color w:val="FFFFFF" w:themeColor="background1"/>
    </w:rPr>
    <w:tblPr>
      <w:tblStyleRowBandSize w:val="1"/>
      <w:tblStyleColBandSize w:val="1"/>
    </w:tblPr>
    <w:tcPr>
      <w:shd w:val="clear" w:color="auto" w:fill="F5A21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10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17B0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17B08" w:themeFill="accent2" w:themeFillShade="BF"/>
      </w:tcPr>
    </w:tblStylePr>
    <w:tblStylePr w:type="band1Vert">
      <w:tblPr/>
      <w:tcPr>
        <w:tcBorders>
          <w:top w:val="nil"/>
          <w:left w:val="nil"/>
          <w:bottom w:val="nil"/>
          <w:right w:val="nil"/>
          <w:insideH w:val="nil"/>
          <w:insideV w:val="nil"/>
        </w:tcBorders>
        <w:shd w:val="clear" w:color="auto" w:fill="C17B08" w:themeFill="accent2" w:themeFillShade="BF"/>
      </w:tcPr>
    </w:tblStylePr>
    <w:tblStylePr w:type="band1Horz">
      <w:tblPr/>
      <w:tcPr>
        <w:tcBorders>
          <w:top w:val="nil"/>
          <w:left w:val="nil"/>
          <w:bottom w:val="nil"/>
          <w:right w:val="nil"/>
          <w:insideH w:val="nil"/>
          <w:insideV w:val="nil"/>
        </w:tcBorders>
        <w:shd w:val="clear" w:color="auto" w:fill="C17B08" w:themeFill="accent2" w:themeFillShade="BF"/>
      </w:tcPr>
    </w:tblStylePr>
  </w:style>
  <w:style w:type="table" w:styleId="Listefonce-Accent3">
    <w:name w:val="Dark List Accent 3"/>
    <w:basedOn w:val="TableauNormal"/>
    <w:uiPriority w:val="70"/>
    <w:semiHidden/>
    <w:unhideWhenUsed/>
    <w:rsid w:val="00B57FC7"/>
    <w:pPr>
      <w:spacing w:after="0" w:line="240" w:lineRule="auto"/>
    </w:pPr>
    <w:rPr>
      <w:color w:val="FFFFFF" w:themeColor="background1"/>
    </w:rPr>
    <w:tblPr>
      <w:tblStyleRowBandSize w:val="1"/>
      <w:tblStyleColBandSize w:val="1"/>
    </w:tblPr>
    <w:tcPr>
      <w:shd w:val="clear" w:color="auto" w:fill="DE5B1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D0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431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4312" w:themeFill="accent3" w:themeFillShade="BF"/>
      </w:tcPr>
    </w:tblStylePr>
    <w:tblStylePr w:type="band1Vert">
      <w:tblPr/>
      <w:tcPr>
        <w:tcBorders>
          <w:top w:val="nil"/>
          <w:left w:val="nil"/>
          <w:bottom w:val="nil"/>
          <w:right w:val="nil"/>
          <w:insideH w:val="nil"/>
          <w:insideV w:val="nil"/>
        </w:tcBorders>
        <w:shd w:val="clear" w:color="auto" w:fill="A64312" w:themeFill="accent3" w:themeFillShade="BF"/>
      </w:tcPr>
    </w:tblStylePr>
    <w:tblStylePr w:type="band1Horz">
      <w:tblPr/>
      <w:tcPr>
        <w:tcBorders>
          <w:top w:val="nil"/>
          <w:left w:val="nil"/>
          <w:bottom w:val="nil"/>
          <w:right w:val="nil"/>
          <w:insideH w:val="nil"/>
          <w:insideV w:val="nil"/>
        </w:tcBorders>
        <w:shd w:val="clear" w:color="auto" w:fill="A64312" w:themeFill="accent3" w:themeFillShade="BF"/>
      </w:tcPr>
    </w:tblStylePr>
  </w:style>
  <w:style w:type="table" w:styleId="Listefonce-Accent4">
    <w:name w:val="Dark List Accent 4"/>
    <w:basedOn w:val="TableauNormal"/>
    <w:uiPriority w:val="70"/>
    <w:semiHidden/>
    <w:unhideWhenUsed/>
    <w:rsid w:val="00B57FC7"/>
    <w:pPr>
      <w:spacing w:after="0" w:line="240" w:lineRule="auto"/>
    </w:pPr>
    <w:rPr>
      <w:color w:val="FFFFFF" w:themeColor="background1"/>
    </w:rPr>
    <w:tblPr>
      <w:tblStyleRowBandSize w:val="1"/>
      <w:tblStyleColBandSize w:val="1"/>
    </w:tblPr>
    <w:tcPr>
      <w:shd w:val="clear" w:color="auto" w:fill="ACBC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5D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8C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8C1B" w:themeFill="accent4" w:themeFillShade="BF"/>
      </w:tcPr>
    </w:tblStylePr>
    <w:tblStylePr w:type="band1Vert">
      <w:tblPr/>
      <w:tcPr>
        <w:tcBorders>
          <w:top w:val="nil"/>
          <w:left w:val="nil"/>
          <w:bottom w:val="nil"/>
          <w:right w:val="nil"/>
          <w:insideH w:val="nil"/>
          <w:insideV w:val="nil"/>
        </w:tcBorders>
        <w:shd w:val="clear" w:color="auto" w:fill="808C1B" w:themeFill="accent4" w:themeFillShade="BF"/>
      </w:tcPr>
    </w:tblStylePr>
    <w:tblStylePr w:type="band1Horz">
      <w:tblPr/>
      <w:tcPr>
        <w:tcBorders>
          <w:top w:val="nil"/>
          <w:left w:val="nil"/>
          <w:bottom w:val="nil"/>
          <w:right w:val="nil"/>
          <w:insideH w:val="nil"/>
          <w:insideV w:val="nil"/>
        </w:tcBorders>
        <w:shd w:val="clear" w:color="auto" w:fill="808C1B" w:themeFill="accent4" w:themeFillShade="BF"/>
      </w:tcPr>
    </w:tblStylePr>
  </w:style>
  <w:style w:type="table" w:styleId="Listefonce-Accent5">
    <w:name w:val="Dark List Accent 5"/>
    <w:basedOn w:val="TableauNormal"/>
    <w:uiPriority w:val="70"/>
    <w:semiHidden/>
    <w:unhideWhenUsed/>
    <w:rsid w:val="00B57FC7"/>
    <w:pPr>
      <w:spacing w:after="0" w:line="240" w:lineRule="auto"/>
    </w:pPr>
    <w:rPr>
      <w:color w:val="FFFFFF" w:themeColor="background1"/>
    </w:rPr>
    <w:tblPr>
      <w:tblStyleRowBandSize w:val="1"/>
      <w:tblStyleColBandSize w:val="1"/>
    </w:tblPr>
    <w:tcPr>
      <w:shd w:val="clear" w:color="auto" w:fill="7B4A0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D240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C370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C370B" w:themeFill="accent5" w:themeFillShade="BF"/>
      </w:tcPr>
    </w:tblStylePr>
    <w:tblStylePr w:type="band1Vert">
      <w:tblPr/>
      <w:tcPr>
        <w:tcBorders>
          <w:top w:val="nil"/>
          <w:left w:val="nil"/>
          <w:bottom w:val="nil"/>
          <w:right w:val="nil"/>
          <w:insideH w:val="nil"/>
          <w:insideV w:val="nil"/>
        </w:tcBorders>
        <w:shd w:val="clear" w:color="auto" w:fill="5C370B" w:themeFill="accent5" w:themeFillShade="BF"/>
      </w:tcPr>
    </w:tblStylePr>
    <w:tblStylePr w:type="band1Horz">
      <w:tblPr/>
      <w:tcPr>
        <w:tcBorders>
          <w:top w:val="nil"/>
          <w:left w:val="nil"/>
          <w:bottom w:val="nil"/>
          <w:right w:val="nil"/>
          <w:insideH w:val="nil"/>
          <w:insideV w:val="nil"/>
        </w:tcBorders>
        <w:shd w:val="clear" w:color="auto" w:fill="5C370B" w:themeFill="accent5" w:themeFillShade="BF"/>
      </w:tcPr>
    </w:tblStylePr>
  </w:style>
  <w:style w:type="table" w:styleId="Listefonce-Accent6">
    <w:name w:val="Dark List Accent 6"/>
    <w:basedOn w:val="TableauNormal"/>
    <w:uiPriority w:val="70"/>
    <w:semiHidden/>
    <w:unhideWhenUsed/>
    <w:rsid w:val="00B57FC7"/>
    <w:pPr>
      <w:spacing w:after="0" w:line="240" w:lineRule="auto"/>
    </w:pPr>
    <w:rPr>
      <w:color w:val="FFFFFF" w:themeColor="background1"/>
    </w:rPr>
    <w:tblPr>
      <w:tblStyleRowBandSize w:val="1"/>
      <w:tblStyleColBandSize w:val="1"/>
    </w:tblPr>
    <w:tcPr>
      <w:shd w:val="clear" w:color="auto" w:fill="801F2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0F1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172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1720" w:themeFill="accent6" w:themeFillShade="BF"/>
      </w:tcPr>
    </w:tblStylePr>
    <w:tblStylePr w:type="band1Vert">
      <w:tblPr/>
      <w:tcPr>
        <w:tcBorders>
          <w:top w:val="nil"/>
          <w:left w:val="nil"/>
          <w:bottom w:val="nil"/>
          <w:right w:val="nil"/>
          <w:insideH w:val="nil"/>
          <w:insideV w:val="nil"/>
        </w:tcBorders>
        <w:shd w:val="clear" w:color="auto" w:fill="5F1720" w:themeFill="accent6" w:themeFillShade="BF"/>
      </w:tcPr>
    </w:tblStylePr>
    <w:tblStylePr w:type="band1Horz">
      <w:tblPr/>
      <w:tcPr>
        <w:tcBorders>
          <w:top w:val="nil"/>
          <w:left w:val="nil"/>
          <w:bottom w:val="nil"/>
          <w:right w:val="nil"/>
          <w:insideH w:val="nil"/>
          <w:insideV w:val="nil"/>
        </w:tcBorders>
        <w:shd w:val="clear" w:color="auto" w:fill="5F1720" w:themeFill="accent6" w:themeFillShade="BF"/>
      </w:tcPr>
    </w:tblStylePr>
  </w:style>
  <w:style w:type="paragraph" w:styleId="Explorateurdedocuments">
    <w:name w:val="Document Map"/>
    <w:basedOn w:val="Normal"/>
    <w:link w:val="ExplorateurdedocumentsCar"/>
    <w:uiPriority w:val="99"/>
    <w:semiHidden/>
    <w:unhideWhenUsed/>
    <w:rsid w:val="00B57FC7"/>
    <w:pPr>
      <w:spacing w:after="0" w:line="240" w:lineRule="auto"/>
    </w:pPr>
    <w:rPr>
      <w:rFonts w:ascii="Segoe UI" w:hAnsi="Segoe UI" w:cs="Segoe UI"/>
      <w:sz w:val="22"/>
      <w:szCs w:val="16"/>
    </w:rPr>
  </w:style>
  <w:style w:type="character" w:customStyle="1" w:styleId="ExplorateurdedocumentsCar">
    <w:name w:val="Explorateur de documents Car"/>
    <w:basedOn w:val="Policepardfaut"/>
    <w:link w:val="Explorateurdedocuments"/>
    <w:uiPriority w:val="99"/>
    <w:semiHidden/>
    <w:rsid w:val="00B57FC7"/>
    <w:rPr>
      <w:rFonts w:ascii="Segoe UI" w:hAnsi="Segoe UI" w:cs="Segoe UI"/>
      <w:sz w:val="22"/>
      <w:szCs w:val="16"/>
    </w:rPr>
  </w:style>
  <w:style w:type="paragraph" w:styleId="Signaturelectronique">
    <w:name w:val="E-mail Signature"/>
    <w:basedOn w:val="Normal"/>
    <w:link w:val="SignaturelectroniqueCar"/>
    <w:uiPriority w:val="99"/>
    <w:semiHidden/>
    <w:unhideWhenUsed/>
    <w:rsid w:val="00B57FC7"/>
    <w:pPr>
      <w:spacing w:after="0" w:line="240" w:lineRule="auto"/>
    </w:pPr>
  </w:style>
  <w:style w:type="character" w:customStyle="1" w:styleId="SignaturelectroniqueCar">
    <w:name w:val="Signature électronique Car"/>
    <w:basedOn w:val="Policepardfaut"/>
    <w:link w:val="Signaturelectronique"/>
    <w:uiPriority w:val="99"/>
    <w:semiHidden/>
    <w:rsid w:val="00B57FC7"/>
  </w:style>
  <w:style w:type="character" w:styleId="Accentuation">
    <w:name w:val="Emphasis"/>
    <w:basedOn w:val="Policepardfaut"/>
    <w:uiPriority w:val="20"/>
    <w:unhideWhenUsed/>
    <w:qFormat/>
    <w:rsid w:val="00B57FC7"/>
    <w:rPr>
      <w:i/>
      <w:iCs/>
    </w:rPr>
  </w:style>
  <w:style w:type="character" w:styleId="Appeldenotedefin">
    <w:name w:val="endnote reference"/>
    <w:basedOn w:val="Policepardfaut"/>
    <w:uiPriority w:val="99"/>
    <w:semiHidden/>
    <w:unhideWhenUsed/>
    <w:rsid w:val="00B57FC7"/>
    <w:rPr>
      <w:vertAlign w:val="superscript"/>
    </w:rPr>
  </w:style>
  <w:style w:type="paragraph" w:styleId="Notedefin">
    <w:name w:val="endnote text"/>
    <w:basedOn w:val="Normal"/>
    <w:link w:val="NotedefinCar"/>
    <w:uiPriority w:val="99"/>
    <w:semiHidden/>
    <w:unhideWhenUsed/>
    <w:rsid w:val="00B57FC7"/>
    <w:pPr>
      <w:spacing w:after="0" w:line="240" w:lineRule="auto"/>
    </w:pPr>
    <w:rPr>
      <w:sz w:val="22"/>
      <w:szCs w:val="20"/>
    </w:rPr>
  </w:style>
  <w:style w:type="character" w:customStyle="1" w:styleId="NotedefinCar">
    <w:name w:val="Note de fin Car"/>
    <w:basedOn w:val="Policepardfaut"/>
    <w:link w:val="Notedefin"/>
    <w:uiPriority w:val="99"/>
    <w:semiHidden/>
    <w:rsid w:val="00B57FC7"/>
    <w:rPr>
      <w:sz w:val="22"/>
      <w:szCs w:val="20"/>
    </w:rPr>
  </w:style>
  <w:style w:type="paragraph" w:styleId="Adressedestinataire">
    <w:name w:val="envelope address"/>
    <w:basedOn w:val="Normal"/>
    <w:uiPriority w:val="99"/>
    <w:semiHidden/>
    <w:unhideWhenUsed/>
    <w:rsid w:val="00B57FC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B57FC7"/>
    <w:pPr>
      <w:spacing w:after="0" w:line="240" w:lineRule="auto"/>
    </w:pPr>
    <w:rPr>
      <w:rFonts w:asciiTheme="majorHAnsi" w:eastAsiaTheme="majorEastAsia" w:hAnsiTheme="majorHAnsi" w:cstheme="majorBidi"/>
      <w:sz w:val="22"/>
      <w:szCs w:val="20"/>
    </w:rPr>
  </w:style>
  <w:style w:type="character" w:styleId="Lienhypertextesuivivisit">
    <w:name w:val="FollowedHyperlink"/>
    <w:basedOn w:val="Policepardfaut"/>
    <w:uiPriority w:val="99"/>
    <w:semiHidden/>
    <w:unhideWhenUsed/>
    <w:rsid w:val="00B57FC7"/>
    <w:rPr>
      <w:color w:val="604774" w:themeColor="followedHyperlink"/>
      <w:u w:val="single"/>
    </w:rPr>
  </w:style>
  <w:style w:type="character" w:styleId="Appelnotedebasdep">
    <w:name w:val="footnote reference"/>
    <w:basedOn w:val="Policepardfaut"/>
    <w:uiPriority w:val="99"/>
    <w:semiHidden/>
    <w:unhideWhenUsed/>
    <w:rsid w:val="00B57FC7"/>
    <w:rPr>
      <w:vertAlign w:val="superscript"/>
    </w:rPr>
  </w:style>
  <w:style w:type="paragraph" w:styleId="Notedebasdepage">
    <w:name w:val="footnote text"/>
    <w:basedOn w:val="Normal"/>
    <w:link w:val="NotedebasdepageCar"/>
    <w:uiPriority w:val="99"/>
    <w:semiHidden/>
    <w:unhideWhenUsed/>
    <w:rsid w:val="00B57FC7"/>
    <w:pPr>
      <w:spacing w:after="0" w:line="240" w:lineRule="auto"/>
    </w:pPr>
    <w:rPr>
      <w:sz w:val="22"/>
      <w:szCs w:val="20"/>
    </w:rPr>
  </w:style>
  <w:style w:type="character" w:customStyle="1" w:styleId="NotedebasdepageCar">
    <w:name w:val="Note de bas de page Car"/>
    <w:basedOn w:val="Policepardfaut"/>
    <w:link w:val="Notedebasdepage"/>
    <w:uiPriority w:val="99"/>
    <w:semiHidden/>
    <w:rsid w:val="00B57FC7"/>
    <w:rPr>
      <w:sz w:val="22"/>
      <w:szCs w:val="20"/>
    </w:rPr>
  </w:style>
  <w:style w:type="table" w:styleId="TableauGrille1Clair">
    <w:name w:val="Grid Table 1 Light"/>
    <w:basedOn w:val="TableauNormal"/>
    <w:uiPriority w:val="46"/>
    <w:rsid w:val="00B57FC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B57FC7"/>
    <w:pPr>
      <w:spacing w:after="0" w:line="240" w:lineRule="auto"/>
    </w:pPr>
    <w:tblPr>
      <w:tblStyleRowBandSize w:val="1"/>
      <w:tblStyleColBandSize w:val="1"/>
      <w:tblBorders>
        <w:top w:val="single" w:sz="4" w:space="0" w:color="F7B2AE" w:themeColor="accent1" w:themeTint="66"/>
        <w:left w:val="single" w:sz="4" w:space="0" w:color="F7B2AE" w:themeColor="accent1" w:themeTint="66"/>
        <w:bottom w:val="single" w:sz="4" w:space="0" w:color="F7B2AE" w:themeColor="accent1" w:themeTint="66"/>
        <w:right w:val="single" w:sz="4" w:space="0" w:color="F7B2AE" w:themeColor="accent1" w:themeTint="66"/>
        <w:insideH w:val="single" w:sz="4" w:space="0" w:color="F7B2AE" w:themeColor="accent1" w:themeTint="66"/>
        <w:insideV w:val="single" w:sz="4" w:space="0" w:color="F7B2AE" w:themeColor="accent1" w:themeTint="66"/>
      </w:tblBorders>
    </w:tblPr>
    <w:tblStylePr w:type="firstRow">
      <w:rPr>
        <w:b/>
        <w:bCs/>
      </w:rPr>
      <w:tblPr/>
      <w:tcPr>
        <w:tcBorders>
          <w:bottom w:val="single" w:sz="12" w:space="0" w:color="F48C86" w:themeColor="accent1" w:themeTint="99"/>
        </w:tcBorders>
      </w:tcPr>
    </w:tblStylePr>
    <w:tblStylePr w:type="lastRow">
      <w:rPr>
        <w:b/>
        <w:bCs/>
      </w:rPr>
      <w:tblPr/>
      <w:tcPr>
        <w:tcBorders>
          <w:top w:val="double" w:sz="2" w:space="0" w:color="F48C86"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B57FC7"/>
    <w:pPr>
      <w:spacing w:after="0" w:line="240" w:lineRule="auto"/>
    </w:pPr>
    <w:tblPr>
      <w:tblStyleRowBandSize w:val="1"/>
      <w:tblStyleColBandSize w:val="1"/>
      <w:tblBorders>
        <w:top w:val="single" w:sz="4" w:space="0" w:color="FBD9A3" w:themeColor="accent2" w:themeTint="66"/>
        <w:left w:val="single" w:sz="4" w:space="0" w:color="FBD9A3" w:themeColor="accent2" w:themeTint="66"/>
        <w:bottom w:val="single" w:sz="4" w:space="0" w:color="FBD9A3" w:themeColor="accent2" w:themeTint="66"/>
        <w:right w:val="single" w:sz="4" w:space="0" w:color="FBD9A3" w:themeColor="accent2" w:themeTint="66"/>
        <w:insideH w:val="single" w:sz="4" w:space="0" w:color="FBD9A3" w:themeColor="accent2" w:themeTint="66"/>
        <w:insideV w:val="single" w:sz="4" w:space="0" w:color="FBD9A3" w:themeColor="accent2" w:themeTint="66"/>
      </w:tblBorders>
    </w:tblPr>
    <w:tblStylePr w:type="firstRow">
      <w:rPr>
        <w:b/>
        <w:bCs/>
      </w:rPr>
      <w:tblPr/>
      <w:tcPr>
        <w:tcBorders>
          <w:bottom w:val="single" w:sz="12" w:space="0" w:color="F9C675" w:themeColor="accent2" w:themeTint="99"/>
        </w:tcBorders>
      </w:tcPr>
    </w:tblStylePr>
    <w:tblStylePr w:type="lastRow">
      <w:rPr>
        <w:b/>
        <w:bCs/>
      </w:rPr>
      <w:tblPr/>
      <w:tcPr>
        <w:tcBorders>
          <w:top w:val="double" w:sz="2" w:space="0" w:color="F9C675"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B57FC7"/>
    <w:pPr>
      <w:spacing w:after="0" w:line="240" w:lineRule="auto"/>
    </w:pPr>
    <w:tblPr>
      <w:tblStyleRowBandSize w:val="1"/>
      <w:tblStyleColBandSize w:val="1"/>
      <w:tblBorders>
        <w:top w:val="single" w:sz="4" w:space="0" w:color="F4BCA0" w:themeColor="accent3" w:themeTint="66"/>
        <w:left w:val="single" w:sz="4" w:space="0" w:color="F4BCA0" w:themeColor="accent3" w:themeTint="66"/>
        <w:bottom w:val="single" w:sz="4" w:space="0" w:color="F4BCA0" w:themeColor="accent3" w:themeTint="66"/>
        <w:right w:val="single" w:sz="4" w:space="0" w:color="F4BCA0" w:themeColor="accent3" w:themeTint="66"/>
        <w:insideH w:val="single" w:sz="4" w:space="0" w:color="F4BCA0" w:themeColor="accent3" w:themeTint="66"/>
        <w:insideV w:val="single" w:sz="4" w:space="0" w:color="F4BCA0" w:themeColor="accent3" w:themeTint="66"/>
      </w:tblBorders>
    </w:tblPr>
    <w:tblStylePr w:type="firstRow">
      <w:rPr>
        <w:b/>
        <w:bCs/>
      </w:rPr>
      <w:tblPr/>
      <w:tcPr>
        <w:tcBorders>
          <w:bottom w:val="single" w:sz="12" w:space="0" w:color="EF9B71" w:themeColor="accent3" w:themeTint="99"/>
        </w:tcBorders>
      </w:tcPr>
    </w:tblStylePr>
    <w:tblStylePr w:type="lastRow">
      <w:rPr>
        <w:b/>
        <w:bCs/>
      </w:rPr>
      <w:tblPr/>
      <w:tcPr>
        <w:tcBorders>
          <w:top w:val="double" w:sz="2" w:space="0" w:color="EF9B71"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B57FC7"/>
    <w:pPr>
      <w:spacing w:after="0" w:line="240" w:lineRule="auto"/>
    </w:pPr>
    <w:tblPr>
      <w:tblStyleRowBandSize w:val="1"/>
      <w:tblStyleColBandSize w:val="1"/>
      <w:tblBorders>
        <w:top w:val="single" w:sz="4" w:space="0" w:color="E3EC9F" w:themeColor="accent4" w:themeTint="66"/>
        <w:left w:val="single" w:sz="4" w:space="0" w:color="E3EC9F" w:themeColor="accent4" w:themeTint="66"/>
        <w:bottom w:val="single" w:sz="4" w:space="0" w:color="E3EC9F" w:themeColor="accent4" w:themeTint="66"/>
        <w:right w:val="single" w:sz="4" w:space="0" w:color="E3EC9F" w:themeColor="accent4" w:themeTint="66"/>
        <w:insideH w:val="single" w:sz="4" w:space="0" w:color="E3EC9F" w:themeColor="accent4" w:themeTint="66"/>
        <w:insideV w:val="single" w:sz="4" w:space="0" w:color="E3EC9F" w:themeColor="accent4" w:themeTint="66"/>
      </w:tblBorders>
    </w:tblPr>
    <w:tblStylePr w:type="firstRow">
      <w:rPr>
        <w:b/>
        <w:bCs/>
      </w:rPr>
      <w:tblPr/>
      <w:tcPr>
        <w:tcBorders>
          <w:bottom w:val="single" w:sz="12" w:space="0" w:color="D6E370" w:themeColor="accent4" w:themeTint="99"/>
        </w:tcBorders>
      </w:tcPr>
    </w:tblStylePr>
    <w:tblStylePr w:type="lastRow">
      <w:rPr>
        <w:b/>
        <w:bCs/>
      </w:rPr>
      <w:tblPr/>
      <w:tcPr>
        <w:tcBorders>
          <w:top w:val="double" w:sz="2" w:space="0" w:color="D6E370"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B57FC7"/>
    <w:pPr>
      <w:spacing w:after="0" w:line="240" w:lineRule="auto"/>
    </w:pPr>
    <w:tblPr>
      <w:tblStyleRowBandSize w:val="1"/>
      <w:tblStyleColBandSize w:val="1"/>
      <w:tblBorders>
        <w:top w:val="single" w:sz="4" w:space="0" w:color="EEB97A" w:themeColor="accent5" w:themeTint="66"/>
        <w:left w:val="single" w:sz="4" w:space="0" w:color="EEB97A" w:themeColor="accent5" w:themeTint="66"/>
        <w:bottom w:val="single" w:sz="4" w:space="0" w:color="EEB97A" w:themeColor="accent5" w:themeTint="66"/>
        <w:right w:val="single" w:sz="4" w:space="0" w:color="EEB97A" w:themeColor="accent5" w:themeTint="66"/>
        <w:insideH w:val="single" w:sz="4" w:space="0" w:color="EEB97A" w:themeColor="accent5" w:themeTint="66"/>
        <w:insideV w:val="single" w:sz="4" w:space="0" w:color="EEB97A" w:themeColor="accent5" w:themeTint="66"/>
      </w:tblBorders>
    </w:tblPr>
    <w:tblStylePr w:type="firstRow">
      <w:rPr>
        <w:b/>
        <w:bCs/>
      </w:rPr>
      <w:tblPr/>
      <w:tcPr>
        <w:tcBorders>
          <w:bottom w:val="single" w:sz="12" w:space="0" w:color="E69737" w:themeColor="accent5" w:themeTint="99"/>
        </w:tcBorders>
      </w:tcPr>
    </w:tblStylePr>
    <w:tblStylePr w:type="lastRow">
      <w:rPr>
        <w:b/>
        <w:bCs/>
      </w:rPr>
      <w:tblPr/>
      <w:tcPr>
        <w:tcBorders>
          <w:top w:val="double" w:sz="2" w:space="0" w:color="E69737"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B57FC7"/>
    <w:pPr>
      <w:spacing w:after="0" w:line="240" w:lineRule="auto"/>
    </w:pPr>
    <w:tblPr>
      <w:tblStyleRowBandSize w:val="1"/>
      <w:tblStyleColBandSize w:val="1"/>
      <w:tblBorders>
        <w:top w:val="single" w:sz="4" w:space="0" w:color="E38D98" w:themeColor="accent6" w:themeTint="66"/>
        <w:left w:val="single" w:sz="4" w:space="0" w:color="E38D98" w:themeColor="accent6" w:themeTint="66"/>
        <w:bottom w:val="single" w:sz="4" w:space="0" w:color="E38D98" w:themeColor="accent6" w:themeTint="66"/>
        <w:right w:val="single" w:sz="4" w:space="0" w:color="E38D98" w:themeColor="accent6" w:themeTint="66"/>
        <w:insideH w:val="single" w:sz="4" w:space="0" w:color="E38D98" w:themeColor="accent6" w:themeTint="66"/>
        <w:insideV w:val="single" w:sz="4" w:space="0" w:color="E38D98" w:themeColor="accent6" w:themeTint="66"/>
      </w:tblBorders>
    </w:tblPr>
    <w:tblStylePr w:type="firstRow">
      <w:rPr>
        <w:b/>
        <w:bCs/>
      </w:rPr>
      <w:tblPr/>
      <w:tcPr>
        <w:tcBorders>
          <w:bottom w:val="single" w:sz="12" w:space="0" w:color="D65564" w:themeColor="accent6" w:themeTint="99"/>
        </w:tcBorders>
      </w:tcPr>
    </w:tblStylePr>
    <w:tblStylePr w:type="lastRow">
      <w:rPr>
        <w:b/>
        <w:bCs/>
      </w:rPr>
      <w:tblPr/>
      <w:tcPr>
        <w:tcBorders>
          <w:top w:val="double" w:sz="2" w:space="0" w:color="D65564"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B57FC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B57FC7"/>
    <w:pPr>
      <w:spacing w:after="0" w:line="240" w:lineRule="auto"/>
    </w:pPr>
    <w:tblPr>
      <w:tblStyleRowBandSize w:val="1"/>
      <w:tblStyleColBandSize w:val="1"/>
      <w:tblBorders>
        <w:top w:val="single" w:sz="2" w:space="0" w:color="F48C86" w:themeColor="accent1" w:themeTint="99"/>
        <w:bottom w:val="single" w:sz="2" w:space="0" w:color="F48C86" w:themeColor="accent1" w:themeTint="99"/>
        <w:insideH w:val="single" w:sz="2" w:space="0" w:color="F48C86" w:themeColor="accent1" w:themeTint="99"/>
        <w:insideV w:val="single" w:sz="2" w:space="0" w:color="F48C86" w:themeColor="accent1" w:themeTint="99"/>
      </w:tblBorders>
    </w:tblPr>
    <w:tblStylePr w:type="firstRow">
      <w:rPr>
        <w:b/>
        <w:bCs/>
      </w:rPr>
      <w:tblPr/>
      <w:tcPr>
        <w:tcBorders>
          <w:top w:val="nil"/>
          <w:bottom w:val="single" w:sz="12" w:space="0" w:color="F48C86" w:themeColor="accent1" w:themeTint="99"/>
          <w:insideH w:val="nil"/>
          <w:insideV w:val="nil"/>
        </w:tcBorders>
        <w:shd w:val="clear" w:color="auto" w:fill="FFFFFF" w:themeFill="background1"/>
      </w:tcPr>
    </w:tblStylePr>
    <w:tblStylePr w:type="lastRow">
      <w:rPr>
        <w:b/>
        <w:bCs/>
      </w:rPr>
      <w:tblPr/>
      <w:tcPr>
        <w:tcBorders>
          <w:top w:val="double" w:sz="2" w:space="0" w:color="F48C8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D8D6" w:themeFill="accent1" w:themeFillTint="33"/>
      </w:tcPr>
    </w:tblStylePr>
    <w:tblStylePr w:type="band1Horz">
      <w:tblPr/>
      <w:tcPr>
        <w:shd w:val="clear" w:color="auto" w:fill="FBD8D6" w:themeFill="accent1" w:themeFillTint="33"/>
      </w:tcPr>
    </w:tblStylePr>
  </w:style>
  <w:style w:type="table" w:styleId="TableauGrille2-Accentuation2">
    <w:name w:val="Grid Table 2 Accent 2"/>
    <w:basedOn w:val="TableauNormal"/>
    <w:uiPriority w:val="47"/>
    <w:rsid w:val="00B57FC7"/>
    <w:pPr>
      <w:spacing w:after="0" w:line="240" w:lineRule="auto"/>
    </w:pPr>
    <w:tblPr>
      <w:tblStyleRowBandSize w:val="1"/>
      <w:tblStyleColBandSize w:val="1"/>
      <w:tblBorders>
        <w:top w:val="single" w:sz="2" w:space="0" w:color="F9C675" w:themeColor="accent2" w:themeTint="99"/>
        <w:bottom w:val="single" w:sz="2" w:space="0" w:color="F9C675" w:themeColor="accent2" w:themeTint="99"/>
        <w:insideH w:val="single" w:sz="2" w:space="0" w:color="F9C675" w:themeColor="accent2" w:themeTint="99"/>
        <w:insideV w:val="single" w:sz="2" w:space="0" w:color="F9C675" w:themeColor="accent2" w:themeTint="99"/>
      </w:tblBorders>
    </w:tblPr>
    <w:tblStylePr w:type="firstRow">
      <w:rPr>
        <w:b/>
        <w:bCs/>
      </w:rPr>
      <w:tblPr/>
      <w:tcPr>
        <w:tcBorders>
          <w:top w:val="nil"/>
          <w:bottom w:val="single" w:sz="12" w:space="0" w:color="F9C675" w:themeColor="accent2" w:themeTint="99"/>
          <w:insideH w:val="nil"/>
          <w:insideV w:val="nil"/>
        </w:tcBorders>
        <w:shd w:val="clear" w:color="auto" w:fill="FFFFFF" w:themeFill="background1"/>
      </w:tcPr>
    </w:tblStylePr>
    <w:tblStylePr w:type="lastRow">
      <w:rPr>
        <w:b/>
        <w:bCs/>
      </w:rPr>
      <w:tblPr/>
      <w:tcPr>
        <w:tcBorders>
          <w:top w:val="double" w:sz="2" w:space="0" w:color="F9C6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1" w:themeFill="accent2" w:themeFillTint="33"/>
      </w:tcPr>
    </w:tblStylePr>
    <w:tblStylePr w:type="band1Horz">
      <w:tblPr/>
      <w:tcPr>
        <w:shd w:val="clear" w:color="auto" w:fill="FDECD1" w:themeFill="accent2" w:themeFillTint="33"/>
      </w:tcPr>
    </w:tblStylePr>
  </w:style>
  <w:style w:type="table" w:styleId="TableauGrille2-Accentuation3">
    <w:name w:val="Grid Table 2 Accent 3"/>
    <w:basedOn w:val="TableauNormal"/>
    <w:uiPriority w:val="47"/>
    <w:rsid w:val="00B57FC7"/>
    <w:pPr>
      <w:spacing w:after="0" w:line="240" w:lineRule="auto"/>
    </w:pPr>
    <w:tblPr>
      <w:tblStyleRowBandSize w:val="1"/>
      <w:tblStyleColBandSize w:val="1"/>
      <w:tblBorders>
        <w:top w:val="single" w:sz="2" w:space="0" w:color="EF9B71" w:themeColor="accent3" w:themeTint="99"/>
        <w:bottom w:val="single" w:sz="2" w:space="0" w:color="EF9B71" w:themeColor="accent3" w:themeTint="99"/>
        <w:insideH w:val="single" w:sz="2" w:space="0" w:color="EF9B71" w:themeColor="accent3" w:themeTint="99"/>
        <w:insideV w:val="single" w:sz="2" w:space="0" w:color="EF9B71" w:themeColor="accent3" w:themeTint="99"/>
      </w:tblBorders>
    </w:tblPr>
    <w:tblStylePr w:type="firstRow">
      <w:rPr>
        <w:b/>
        <w:bCs/>
      </w:rPr>
      <w:tblPr/>
      <w:tcPr>
        <w:tcBorders>
          <w:top w:val="nil"/>
          <w:bottom w:val="single" w:sz="12" w:space="0" w:color="EF9B71" w:themeColor="accent3" w:themeTint="99"/>
          <w:insideH w:val="nil"/>
          <w:insideV w:val="nil"/>
        </w:tcBorders>
        <w:shd w:val="clear" w:color="auto" w:fill="FFFFFF" w:themeFill="background1"/>
      </w:tcPr>
    </w:tblStylePr>
    <w:tblStylePr w:type="lastRow">
      <w:rPr>
        <w:b/>
        <w:bCs/>
      </w:rPr>
      <w:tblPr/>
      <w:tcPr>
        <w:tcBorders>
          <w:top w:val="double" w:sz="2" w:space="0" w:color="EF9B7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CF" w:themeFill="accent3" w:themeFillTint="33"/>
      </w:tcPr>
    </w:tblStylePr>
    <w:tblStylePr w:type="band1Horz">
      <w:tblPr/>
      <w:tcPr>
        <w:shd w:val="clear" w:color="auto" w:fill="F9DDCF" w:themeFill="accent3" w:themeFillTint="33"/>
      </w:tcPr>
    </w:tblStylePr>
  </w:style>
  <w:style w:type="table" w:styleId="TableauGrille2-Accentuation4">
    <w:name w:val="Grid Table 2 Accent 4"/>
    <w:basedOn w:val="TableauNormal"/>
    <w:uiPriority w:val="47"/>
    <w:rsid w:val="00B57FC7"/>
    <w:pPr>
      <w:spacing w:after="0" w:line="240" w:lineRule="auto"/>
    </w:pPr>
    <w:tblPr>
      <w:tblStyleRowBandSize w:val="1"/>
      <w:tblStyleColBandSize w:val="1"/>
      <w:tblBorders>
        <w:top w:val="single" w:sz="2" w:space="0" w:color="D6E370" w:themeColor="accent4" w:themeTint="99"/>
        <w:bottom w:val="single" w:sz="2" w:space="0" w:color="D6E370" w:themeColor="accent4" w:themeTint="99"/>
        <w:insideH w:val="single" w:sz="2" w:space="0" w:color="D6E370" w:themeColor="accent4" w:themeTint="99"/>
        <w:insideV w:val="single" w:sz="2" w:space="0" w:color="D6E370" w:themeColor="accent4" w:themeTint="99"/>
      </w:tblBorders>
    </w:tblPr>
    <w:tblStylePr w:type="firstRow">
      <w:rPr>
        <w:b/>
        <w:bCs/>
      </w:rPr>
      <w:tblPr/>
      <w:tcPr>
        <w:tcBorders>
          <w:top w:val="nil"/>
          <w:bottom w:val="single" w:sz="12" w:space="0" w:color="D6E370" w:themeColor="accent4" w:themeTint="99"/>
          <w:insideH w:val="nil"/>
          <w:insideV w:val="nil"/>
        </w:tcBorders>
        <w:shd w:val="clear" w:color="auto" w:fill="FFFFFF" w:themeFill="background1"/>
      </w:tcPr>
    </w:tblStylePr>
    <w:tblStylePr w:type="lastRow">
      <w:rPr>
        <w:b/>
        <w:bCs/>
      </w:rPr>
      <w:tblPr/>
      <w:tcPr>
        <w:tcBorders>
          <w:top w:val="double" w:sz="2" w:space="0" w:color="D6E37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5CF" w:themeFill="accent4" w:themeFillTint="33"/>
      </w:tcPr>
    </w:tblStylePr>
    <w:tblStylePr w:type="band1Horz">
      <w:tblPr/>
      <w:tcPr>
        <w:shd w:val="clear" w:color="auto" w:fill="F1F5CF" w:themeFill="accent4" w:themeFillTint="33"/>
      </w:tcPr>
    </w:tblStylePr>
  </w:style>
  <w:style w:type="table" w:styleId="TableauGrille2-Accentuation5">
    <w:name w:val="Grid Table 2 Accent 5"/>
    <w:basedOn w:val="TableauNormal"/>
    <w:uiPriority w:val="47"/>
    <w:rsid w:val="00B57FC7"/>
    <w:pPr>
      <w:spacing w:after="0" w:line="240" w:lineRule="auto"/>
    </w:pPr>
    <w:tblPr>
      <w:tblStyleRowBandSize w:val="1"/>
      <w:tblStyleColBandSize w:val="1"/>
      <w:tblBorders>
        <w:top w:val="single" w:sz="2" w:space="0" w:color="E69737" w:themeColor="accent5" w:themeTint="99"/>
        <w:bottom w:val="single" w:sz="2" w:space="0" w:color="E69737" w:themeColor="accent5" w:themeTint="99"/>
        <w:insideH w:val="single" w:sz="2" w:space="0" w:color="E69737" w:themeColor="accent5" w:themeTint="99"/>
        <w:insideV w:val="single" w:sz="2" w:space="0" w:color="E69737" w:themeColor="accent5" w:themeTint="99"/>
      </w:tblBorders>
    </w:tblPr>
    <w:tblStylePr w:type="firstRow">
      <w:rPr>
        <w:b/>
        <w:bCs/>
      </w:rPr>
      <w:tblPr/>
      <w:tcPr>
        <w:tcBorders>
          <w:top w:val="nil"/>
          <w:bottom w:val="single" w:sz="12" w:space="0" w:color="E69737" w:themeColor="accent5" w:themeTint="99"/>
          <w:insideH w:val="nil"/>
          <w:insideV w:val="nil"/>
        </w:tcBorders>
        <w:shd w:val="clear" w:color="auto" w:fill="FFFFFF" w:themeFill="background1"/>
      </w:tcPr>
    </w:tblStylePr>
    <w:tblStylePr w:type="lastRow">
      <w:rPr>
        <w:b/>
        <w:bCs/>
      </w:rPr>
      <w:tblPr/>
      <w:tcPr>
        <w:tcBorders>
          <w:top w:val="double" w:sz="2" w:space="0" w:color="E6973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DCBC" w:themeFill="accent5" w:themeFillTint="33"/>
      </w:tcPr>
    </w:tblStylePr>
    <w:tblStylePr w:type="band1Horz">
      <w:tblPr/>
      <w:tcPr>
        <w:shd w:val="clear" w:color="auto" w:fill="F7DCBC" w:themeFill="accent5" w:themeFillTint="33"/>
      </w:tcPr>
    </w:tblStylePr>
  </w:style>
  <w:style w:type="table" w:styleId="TableauGrille2-Accentuation6">
    <w:name w:val="Grid Table 2 Accent 6"/>
    <w:basedOn w:val="TableauNormal"/>
    <w:uiPriority w:val="47"/>
    <w:rsid w:val="00B57FC7"/>
    <w:pPr>
      <w:spacing w:after="0" w:line="240" w:lineRule="auto"/>
    </w:pPr>
    <w:tblPr>
      <w:tblStyleRowBandSize w:val="1"/>
      <w:tblStyleColBandSize w:val="1"/>
      <w:tblBorders>
        <w:top w:val="single" w:sz="2" w:space="0" w:color="D65564" w:themeColor="accent6" w:themeTint="99"/>
        <w:bottom w:val="single" w:sz="2" w:space="0" w:color="D65564" w:themeColor="accent6" w:themeTint="99"/>
        <w:insideH w:val="single" w:sz="2" w:space="0" w:color="D65564" w:themeColor="accent6" w:themeTint="99"/>
        <w:insideV w:val="single" w:sz="2" w:space="0" w:color="D65564" w:themeColor="accent6" w:themeTint="99"/>
      </w:tblBorders>
    </w:tblPr>
    <w:tblStylePr w:type="firstRow">
      <w:rPr>
        <w:b/>
        <w:bCs/>
      </w:rPr>
      <w:tblPr/>
      <w:tcPr>
        <w:tcBorders>
          <w:top w:val="nil"/>
          <w:bottom w:val="single" w:sz="12" w:space="0" w:color="D65564" w:themeColor="accent6" w:themeTint="99"/>
          <w:insideH w:val="nil"/>
          <w:insideV w:val="nil"/>
        </w:tcBorders>
        <w:shd w:val="clear" w:color="auto" w:fill="FFFFFF" w:themeFill="background1"/>
      </w:tcPr>
    </w:tblStylePr>
    <w:tblStylePr w:type="lastRow">
      <w:rPr>
        <w:b/>
        <w:bCs/>
      </w:rPr>
      <w:tblPr/>
      <w:tcPr>
        <w:tcBorders>
          <w:top w:val="double" w:sz="2" w:space="0" w:color="D6556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6CB" w:themeFill="accent6" w:themeFillTint="33"/>
      </w:tcPr>
    </w:tblStylePr>
    <w:tblStylePr w:type="band1Horz">
      <w:tblPr/>
      <w:tcPr>
        <w:shd w:val="clear" w:color="auto" w:fill="F1C6CB" w:themeFill="accent6" w:themeFillTint="33"/>
      </w:tcPr>
    </w:tblStylePr>
  </w:style>
  <w:style w:type="table" w:styleId="TableauGrille3">
    <w:name w:val="Grid Table 3"/>
    <w:basedOn w:val="TableauNormal"/>
    <w:uiPriority w:val="48"/>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B57FC7"/>
    <w:pPr>
      <w:spacing w:after="0" w:line="240" w:lineRule="auto"/>
    </w:pPr>
    <w:tblPr>
      <w:tblStyleRowBandSize w:val="1"/>
      <w:tblStyleColBandSize w:val="1"/>
      <w:tblBorders>
        <w:top w:val="single" w:sz="4" w:space="0" w:color="F48C86" w:themeColor="accent1" w:themeTint="99"/>
        <w:left w:val="single" w:sz="4" w:space="0" w:color="F48C86" w:themeColor="accent1" w:themeTint="99"/>
        <w:bottom w:val="single" w:sz="4" w:space="0" w:color="F48C86" w:themeColor="accent1" w:themeTint="99"/>
        <w:right w:val="single" w:sz="4" w:space="0" w:color="F48C86" w:themeColor="accent1" w:themeTint="99"/>
        <w:insideH w:val="single" w:sz="4" w:space="0" w:color="F48C86" w:themeColor="accent1" w:themeTint="99"/>
        <w:insideV w:val="single" w:sz="4" w:space="0" w:color="F48C8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8D6" w:themeFill="accent1" w:themeFillTint="33"/>
      </w:tcPr>
    </w:tblStylePr>
    <w:tblStylePr w:type="band1Horz">
      <w:tblPr/>
      <w:tcPr>
        <w:shd w:val="clear" w:color="auto" w:fill="FBD8D6" w:themeFill="accent1" w:themeFillTint="33"/>
      </w:tcPr>
    </w:tblStylePr>
    <w:tblStylePr w:type="neCell">
      <w:tblPr/>
      <w:tcPr>
        <w:tcBorders>
          <w:bottom w:val="single" w:sz="4" w:space="0" w:color="F48C86" w:themeColor="accent1" w:themeTint="99"/>
        </w:tcBorders>
      </w:tcPr>
    </w:tblStylePr>
    <w:tblStylePr w:type="nwCell">
      <w:tblPr/>
      <w:tcPr>
        <w:tcBorders>
          <w:bottom w:val="single" w:sz="4" w:space="0" w:color="F48C86" w:themeColor="accent1" w:themeTint="99"/>
        </w:tcBorders>
      </w:tcPr>
    </w:tblStylePr>
    <w:tblStylePr w:type="seCell">
      <w:tblPr/>
      <w:tcPr>
        <w:tcBorders>
          <w:top w:val="single" w:sz="4" w:space="0" w:color="F48C86" w:themeColor="accent1" w:themeTint="99"/>
        </w:tcBorders>
      </w:tcPr>
    </w:tblStylePr>
    <w:tblStylePr w:type="swCell">
      <w:tblPr/>
      <w:tcPr>
        <w:tcBorders>
          <w:top w:val="single" w:sz="4" w:space="0" w:color="F48C86" w:themeColor="accent1" w:themeTint="99"/>
        </w:tcBorders>
      </w:tcPr>
    </w:tblStylePr>
  </w:style>
  <w:style w:type="table" w:styleId="TableauGrille3-Accentuation2">
    <w:name w:val="Grid Table 3 Accent 2"/>
    <w:basedOn w:val="TableauNormal"/>
    <w:uiPriority w:val="48"/>
    <w:rsid w:val="00B57FC7"/>
    <w:pPr>
      <w:spacing w:after="0" w:line="240" w:lineRule="auto"/>
    </w:pPr>
    <w:tblPr>
      <w:tblStyleRowBandSize w:val="1"/>
      <w:tblStyleColBandSize w:val="1"/>
      <w:tblBorders>
        <w:top w:val="single" w:sz="4" w:space="0" w:color="F9C675" w:themeColor="accent2" w:themeTint="99"/>
        <w:left w:val="single" w:sz="4" w:space="0" w:color="F9C675" w:themeColor="accent2" w:themeTint="99"/>
        <w:bottom w:val="single" w:sz="4" w:space="0" w:color="F9C675" w:themeColor="accent2" w:themeTint="99"/>
        <w:right w:val="single" w:sz="4" w:space="0" w:color="F9C675" w:themeColor="accent2" w:themeTint="99"/>
        <w:insideH w:val="single" w:sz="4" w:space="0" w:color="F9C675" w:themeColor="accent2" w:themeTint="99"/>
        <w:insideV w:val="single" w:sz="4" w:space="0" w:color="F9C6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1" w:themeFill="accent2" w:themeFillTint="33"/>
      </w:tcPr>
    </w:tblStylePr>
    <w:tblStylePr w:type="band1Horz">
      <w:tblPr/>
      <w:tcPr>
        <w:shd w:val="clear" w:color="auto" w:fill="FDECD1" w:themeFill="accent2" w:themeFillTint="33"/>
      </w:tcPr>
    </w:tblStylePr>
    <w:tblStylePr w:type="neCell">
      <w:tblPr/>
      <w:tcPr>
        <w:tcBorders>
          <w:bottom w:val="single" w:sz="4" w:space="0" w:color="F9C675" w:themeColor="accent2" w:themeTint="99"/>
        </w:tcBorders>
      </w:tcPr>
    </w:tblStylePr>
    <w:tblStylePr w:type="nwCell">
      <w:tblPr/>
      <w:tcPr>
        <w:tcBorders>
          <w:bottom w:val="single" w:sz="4" w:space="0" w:color="F9C675" w:themeColor="accent2" w:themeTint="99"/>
        </w:tcBorders>
      </w:tcPr>
    </w:tblStylePr>
    <w:tblStylePr w:type="seCell">
      <w:tblPr/>
      <w:tcPr>
        <w:tcBorders>
          <w:top w:val="single" w:sz="4" w:space="0" w:color="F9C675" w:themeColor="accent2" w:themeTint="99"/>
        </w:tcBorders>
      </w:tcPr>
    </w:tblStylePr>
    <w:tblStylePr w:type="swCell">
      <w:tblPr/>
      <w:tcPr>
        <w:tcBorders>
          <w:top w:val="single" w:sz="4" w:space="0" w:color="F9C675" w:themeColor="accent2" w:themeTint="99"/>
        </w:tcBorders>
      </w:tcPr>
    </w:tblStylePr>
  </w:style>
  <w:style w:type="table" w:styleId="TableauGrille3-Accentuation3">
    <w:name w:val="Grid Table 3 Accent 3"/>
    <w:basedOn w:val="TableauNormal"/>
    <w:uiPriority w:val="48"/>
    <w:rsid w:val="00B57FC7"/>
    <w:pPr>
      <w:spacing w:after="0" w:line="240" w:lineRule="auto"/>
    </w:pPr>
    <w:tblPr>
      <w:tblStyleRowBandSize w:val="1"/>
      <w:tblStyleColBandSize w:val="1"/>
      <w:tblBorders>
        <w:top w:val="single" w:sz="4" w:space="0" w:color="EF9B71" w:themeColor="accent3" w:themeTint="99"/>
        <w:left w:val="single" w:sz="4" w:space="0" w:color="EF9B71" w:themeColor="accent3" w:themeTint="99"/>
        <w:bottom w:val="single" w:sz="4" w:space="0" w:color="EF9B71" w:themeColor="accent3" w:themeTint="99"/>
        <w:right w:val="single" w:sz="4" w:space="0" w:color="EF9B71" w:themeColor="accent3" w:themeTint="99"/>
        <w:insideH w:val="single" w:sz="4" w:space="0" w:color="EF9B71" w:themeColor="accent3" w:themeTint="99"/>
        <w:insideV w:val="single" w:sz="4" w:space="0" w:color="EF9B7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CF" w:themeFill="accent3" w:themeFillTint="33"/>
      </w:tcPr>
    </w:tblStylePr>
    <w:tblStylePr w:type="band1Horz">
      <w:tblPr/>
      <w:tcPr>
        <w:shd w:val="clear" w:color="auto" w:fill="F9DDCF" w:themeFill="accent3" w:themeFillTint="33"/>
      </w:tcPr>
    </w:tblStylePr>
    <w:tblStylePr w:type="neCell">
      <w:tblPr/>
      <w:tcPr>
        <w:tcBorders>
          <w:bottom w:val="single" w:sz="4" w:space="0" w:color="EF9B71" w:themeColor="accent3" w:themeTint="99"/>
        </w:tcBorders>
      </w:tcPr>
    </w:tblStylePr>
    <w:tblStylePr w:type="nwCell">
      <w:tblPr/>
      <w:tcPr>
        <w:tcBorders>
          <w:bottom w:val="single" w:sz="4" w:space="0" w:color="EF9B71" w:themeColor="accent3" w:themeTint="99"/>
        </w:tcBorders>
      </w:tcPr>
    </w:tblStylePr>
    <w:tblStylePr w:type="seCell">
      <w:tblPr/>
      <w:tcPr>
        <w:tcBorders>
          <w:top w:val="single" w:sz="4" w:space="0" w:color="EF9B71" w:themeColor="accent3" w:themeTint="99"/>
        </w:tcBorders>
      </w:tcPr>
    </w:tblStylePr>
    <w:tblStylePr w:type="swCell">
      <w:tblPr/>
      <w:tcPr>
        <w:tcBorders>
          <w:top w:val="single" w:sz="4" w:space="0" w:color="EF9B71" w:themeColor="accent3" w:themeTint="99"/>
        </w:tcBorders>
      </w:tcPr>
    </w:tblStylePr>
  </w:style>
  <w:style w:type="table" w:styleId="TableauGrille3-Accentuation4">
    <w:name w:val="Grid Table 3 Accent 4"/>
    <w:basedOn w:val="TableauNormal"/>
    <w:uiPriority w:val="48"/>
    <w:rsid w:val="00B57FC7"/>
    <w:pPr>
      <w:spacing w:after="0" w:line="240" w:lineRule="auto"/>
    </w:pPr>
    <w:tblPr>
      <w:tblStyleRowBandSize w:val="1"/>
      <w:tblStyleColBandSize w:val="1"/>
      <w:tblBorders>
        <w:top w:val="single" w:sz="4" w:space="0" w:color="D6E370" w:themeColor="accent4" w:themeTint="99"/>
        <w:left w:val="single" w:sz="4" w:space="0" w:color="D6E370" w:themeColor="accent4" w:themeTint="99"/>
        <w:bottom w:val="single" w:sz="4" w:space="0" w:color="D6E370" w:themeColor="accent4" w:themeTint="99"/>
        <w:right w:val="single" w:sz="4" w:space="0" w:color="D6E370" w:themeColor="accent4" w:themeTint="99"/>
        <w:insideH w:val="single" w:sz="4" w:space="0" w:color="D6E370" w:themeColor="accent4" w:themeTint="99"/>
        <w:insideV w:val="single" w:sz="4" w:space="0" w:color="D6E37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5CF" w:themeFill="accent4" w:themeFillTint="33"/>
      </w:tcPr>
    </w:tblStylePr>
    <w:tblStylePr w:type="band1Horz">
      <w:tblPr/>
      <w:tcPr>
        <w:shd w:val="clear" w:color="auto" w:fill="F1F5CF" w:themeFill="accent4" w:themeFillTint="33"/>
      </w:tcPr>
    </w:tblStylePr>
    <w:tblStylePr w:type="neCell">
      <w:tblPr/>
      <w:tcPr>
        <w:tcBorders>
          <w:bottom w:val="single" w:sz="4" w:space="0" w:color="D6E370" w:themeColor="accent4" w:themeTint="99"/>
        </w:tcBorders>
      </w:tcPr>
    </w:tblStylePr>
    <w:tblStylePr w:type="nwCell">
      <w:tblPr/>
      <w:tcPr>
        <w:tcBorders>
          <w:bottom w:val="single" w:sz="4" w:space="0" w:color="D6E370" w:themeColor="accent4" w:themeTint="99"/>
        </w:tcBorders>
      </w:tcPr>
    </w:tblStylePr>
    <w:tblStylePr w:type="seCell">
      <w:tblPr/>
      <w:tcPr>
        <w:tcBorders>
          <w:top w:val="single" w:sz="4" w:space="0" w:color="D6E370" w:themeColor="accent4" w:themeTint="99"/>
        </w:tcBorders>
      </w:tcPr>
    </w:tblStylePr>
    <w:tblStylePr w:type="swCell">
      <w:tblPr/>
      <w:tcPr>
        <w:tcBorders>
          <w:top w:val="single" w:sz="4" w:space="0" w:color="D6E370" w:themeColor="accent4" w:themeTint="99"/>
        </w:tcBorders>
      </w:tcPr>
    </w:tblStylePr>
  </w:style>
  <w:style w:type="table" w:styleId="TableauGrille3-Accentuation5">
    <w:name w:val="Grid Table 3 Accent 5"/>
    <w:basedOn w:val="TableauNormal"/>
    <w:uiPriority w:val="48"/>
    <w:rsid w:val="00B57FC7"/>
    <w:pPr>
      <w:spacing w:after="0" w:line="240" w:lineRule="auto"/>
    </w:pPr>
    <w:tblPr>
      <w:tblStyleRowBandSize w:val="1"/>
      <w:tblStyleColBandSize w:val="1"/>
      <w:tblBorders>
        <w:top w:val="single" w:sz="4" w:space="0" w:color="E69737" w:themeColor="accent5" w:themeTint="99"/>
        <w:left w:val="single" w:sz="4" w:space="0" w:color="E69737" w:themeColor="accent5" w:themeTint="99"/>
        <w:bottom w:val="single" w:sz="4" w:space="0" w:color="E69737" w:themeColor="accent5" w:themeTint="99"/>
        <w:right w:val="single" w:sz="4" w:space="0" w:color="E69737" w:themeColor="accent5" w:themeTint="99"/>
        <w:insideH w:val="single" w:sz="4" w:space="0" w:color="E69737" w:themeColor="accent5" w:themeTint="99"/>
        <w:insideV w:val="single" w:sz="4" w:space="0" w:color="E6973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DCBC" w:themeFill="accent5" w:themeFillTint="33"/>
      </w:tcPr>
    </w:tblStylePr>
    <w:tblStylePr w:type="band1Horz">
      <w:tblPr/>
      <w:tcPr>
        <w:shd w:val="clear" w:color="auto" w:fill="F7DCBC" w:themeFill="accent5" w:themeFillTint="33"/>
      </w:tcPr>
    </w:tblStylePr>
    <w:tblStylePr w:type="neCell">
      <w:tblPr/>
      <w:tcPr>
        <w:tcBorders>
          <w:bottom w:val="single" w:sz="4" w:space="0" w:color="E69737" w:themeColor="accent5" w:themeTint="99"/>
        </w:tcBorders>
      </w:tcPr>
    </w:tblStylePr>
    <w:tblStylePr w:type="nwCell">
      <w:tblPr/>
      <w:tcPr>
        <w:tcBorders>
          <w:bottom w:val="single" w:sz="4" w:space="0" w:color="E69737" w:themeColor="accent5" w:themeTint="99"/>
        </w:tcBorders>
      </w:tcPr>
    </w:tblStylePr>
    <w:tblStylePr w:type="seCell">
      <w:tblPr/>
      <w:tcPr>
        <w:tcBorders>
          <w:top w:val="single" w:sz="4" w:space="0" w:color="E69737" w:themeColor="accent5" w:themeTint="99"/>
        </w:tcBorders>
      </w:tcPr>
    </w:tblStylePr>
    <w:tblStylePr w:type="swCell">
      <w:tblPr/>
      <w:tcPr>
        <w:tcBorders>
          <w:top w:val="single" w:sz="4" w:space="0" w:color="E69737" w:themeColor="accent5" w:themeTint="99"/>
        </w:tcBorders>
      </w:tcPr>
    </w:tblStylePr>
  </w:style>
  <w:style w:type="table" w:styleId="TableauGrille3-Accentuation6">
    <w:name w:val="Grid Table 3 Accent 6"/>
    <w:basedOn w:val="TableauNormal"/>
    <w:uiPriority w:val="48"/>
    <w:rsid w:val="00B57FC7"/>
    <w:pPr>
      <w:spacing w:after="0" w:line="240" w:lineRule="auto"/>
    </w:pPr>
    <w:tblPr>
      <w:tblStyleRowBandSize w:val="1"/>
      <w:tblStyleColBandSize w:val="1"/>
      <w:tblBorders>
        <w:top w:val="single" w:sz="4" w:space="0" w:color="D65564" w:themeColor="accent6" w:themeTint="99"/>
        <w:left w:val="single" w:sz="4" w:space="0" w:color="D65564" w:themeColor="accent6" w:themeTint="99"/>
        <w:bottom w:val="single" w:sz="4" w:space="0" w:color="D65564" w:themeColor="accent6" w:themeTint="99"/>
        <w:right w:val="single" w:sz="4" w:space="0" w:color="D65564" w:themeColor="accent6" w:themeTint="99"/>
        <w:insideH w:val="single" w:sz="4" w:space="0" w:color="D65564" w:themeColor="accent6" w:themeTint="99"/>
        <w:insideV w:val="single" w:sz="4" w:space="0" w:color="D6556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CB" w:themeFill="accent6" w:themeFillTint="33"/>
      </w:tcPr>
    </w:tblStylePr>
    <w:tblStylePr w:type="band1Horz">
      <w:tblPr/>
      <w:tcPr>
        <w:shd w:val="clear" w:color="auto" w:fill="F1C6CB" w:themeFill="accent6" w:themeFillTint="33"/>
      </w:tcPr>
    </w:tblStylePr>
    <w:tblStylePr w:type="neCell">
      <w:tblPr/>
      <w:tcPr>
        <w:tcBorders>
          <w:bottom w:val="single" w:sz="4" w:space="0" w:color="D65564" w:themeColor="accent6" w:themeTint="99"/>
        </w:tcBorders>
      </w:tcPr>
    </w:tblStylePr>
    <w:tblStylePr w:type="nwCell">
      <w:tblPr/>
      <w:tcPr>
        <w:tcBorders>
          <w:bottom w:val="single" w:sz="4" w:space="0" w:color="D65564" w:themeColor="accent6" w:themeTint="99"/>
        </w:tcBorders>
      </w:tcPr>
    </w:tblStylePr>
    <w:tblStylePr w:type="seCell">
      <w:tblPr/>
      <w:tcPr>
        <w:tcBorders>
          <w:top w:val="single" w:sz="4" w:space="0" w:color="D65564" w:themeColor="accent6" w:themeTint="99"/>
        </w:tcBorders>
      </w:tcPr>
    </w:tblStylePr>
    <w:tblStylePr w:type="swCell">
      <w:tblPr/>
      <w:tcPr>
        <w:tcBorders>
          <w:top w:val="single" w:sz="4" w:space="0" w:color="D65564" w:themeColor="accent6" w:themeTint="99"/>
        </w:tcBorders>
      </w:tcPr>
    </w:tblStylePr>
  </w:style>
  <w:style w:type="table" w:styleId="TableauGrille4">
    <w:name w:val="Grid Table 4"/>
    <w:basedOn w:val="TableauNormal"/>
    <w:uiPriority w:val="49"/>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B57FC7"/>
    <w:pPr>
      <w:spacing w:after="0" w:line="240" w:lineRule="auto"/>
    </w:pPr>
    <w:tblPr>
      <w:tblStyleRowBandSize w:val="1"/>
      <w:tblStyleColBandSize w:val="1"/>
      <w:tblBorders>
        <w:top w:val="single" w:sz="4" w:space="0" w:color="F48C86" w:themeColor="accent1" w:themeTint="99"/>
        <w:left w:val="single" w:sz="4" w:space="0" w:color="F48C86" w:themeColor="accent1" w:themeTint="99"/>
        <w:bottom w:val="single" w:sz="4" w:space="0" w:color="F48C86" w:themeColor="accent1" w:themeTint="99"/>
        <w:right w:val="single" w:sz="4" w:space="0" w:color="F48C86" w:themeColor="accent1" w:themeTint="99"/>
        <w:insideH w:val="single" w:sz="4" w:space="0" w:color="F48C86" w:themeColor="accent1" w:themeTint="99"/>
        <w:insideV w:val="single" w:sz="4" w:space="0" w:color="F48C86" w:themeColor="accent1" w:themeTint="99"/>
      </w:tblBorders>
    </w:tblPr>
    <w:tblStylePr w:type="firstRow">
      <w:rPr>
        <w:b/>
        <w:bCs/>
        <w:color w:val="FFFFFF" w:themeColor="background1"/>
      </w:rPr>
      <w:tblPr/>
      <w:tcPr>
        <w:tcBorders>
          <w:top w:val="single" w:sz="4" w:space="0" w:color="ED4136" w:themeColor="accent1"/>
          <w:left w:val="single" w:sz="4" w:space="0" w:color="ED4136" w:themeColor="accent1"/>
          <w:bottom w:val="single" w:sz="4" w:space="0" w:color="ED4136" w:themeColor="accent1"/>
          <w:right w:val="single" w:sz="4" w:space="0" w:color="ED4136" w:themeColor="accent1"/>
          <w:insideH w:val="nil"/>
          <w:insideV w:val="nil"/>
        </w:tcBorders>
        <w:shd w:val="clear" w:color="auto" w:fill="ED4136" w:themeFill="accent1"/>
      </w:tcPr>
    </w:tblStylePr>
    <w:tblStylePr w:type="lastRow">
      <w:rPr>
        <w:b/>
        <w:bCs/>
      </w:rPr>
      <w:tblPr/>
      <w:tcPr>
        <w:tcBorders>
          <w:top w:val="double" w:sz="4" w:space="0" w:color="ED4136" w:themeColor="accent1"/>
        </w:tcBorders>
      </w:tcPr>
    </w:tblStylePr>
    <w:tblStylePr w:type="firstCol">
      <w:rPr>
        <w:b/>
        <w:bCs/>
      </w:rPr>
    </w:tblStylePr>
    <w:tblStylePr w:type="lastCol">
      <w:rPr>
        <w:b/>
        <w:bCs/>
      </w:rPr>
    </w:tblStylePr>
    <w:tblStylePr w:type="band1Vert">
      <w:tblPr/>
      <w:tcPr>
        <w:shd w:val="clear" w:color="auto" w:fill="FBD8D6" w:themeFill="accent1" w:themeFillTint="33"/>
      </w:tcPr>
    </w:tblStylePr>
    <w:tblStylePr w:type="band1Horz">
      <w:tblPr/>
      <w:tcPr>
        <w:shd w:val="clear" w:color="auto" w:fill="FBD8D6" w:themeFill="accent1" w:themeFillTint="33"/>
      </w:tcPr>
    </w:tblStylePr>
  </w:style>
  <w:style w:type="table" w:styleId="TableauGrille4-Accentuation2">
    <w:name w:val="Grid Table 4 Accent 2"/>
    <w:basedOn w:val="TableauNormal"/>
    <w:uiPriority w:val="49"/>
    <w:rsid w:val="00B57FC7"/>
    <w:pPr>
      <w:spacing w:after="0" w:line="240" w:lineRule="auto"/>
    </w:pPr>
    <w:tblPr>
      <w:tblStyleRowBandSize w:val="1"/>
      <w:tblStyleColBandSize w:val="1"/>
      <w:tblBorders>
        <w:top w:val="single" w:sz="4" w:space="0" w:color="F9C675" w:themeColor="accent2" w:themeTint="99"/>
        <w:left w:val="single" w:sz="4" w:space="0" w:color="F9C675" w:themeColor="accent2" w:themeTint="99"/>
        <w:bottom w:val="single" w:sz="4" w:space="0" w:color="F9C675" w:themeColor="accent2" w:themeTint="99"/>
        <w:right w:val="single" w:sz="4" w:space="0" w:color="F9C675" w:themeColor="accent2" w:themeTint="99"/>
        <w:insideH w:val="single" w:sz="4" w:space="0" w:color="F9C675" w:themeColor="accent2" w:themeTint="99"/>
        <w:insideV w:val="single" w:sz="4" w:space="0" w:color="F9C675" w:themeColor="accent2" w:themeTint="99"/>
      </w:tblBorders>
    </w:tblPr>
    <w:tblStylePr w:type="firstRow">
      <w:rPr>
        <w:b/>
        <w:bCs/>
        <w:color w:val="FFFFFF" w:themeColor="background1"/>
      </w:rPr>
      <w:tblPr/>
      <w:tcPr>
        <w:tcBorders>
          <w:top w:val="single" w:sz="4" w:space="0" w:color="F5A219" w:themeColor="accent2"/>
          <w:left w:val="single" w:sz="4" w:space="0" w:color="F5A219" w:themeColor="accent2"/>
          <w:bottom w:val="single" w:sz="4" w:space="0" w:color="F5A219" w:themeColor="accent2"/>
          <w:right w:val="single" w:sz="4" w:space="0" w:color="F5A219" w:themeColor="accent2"/>
          <w:insideH w:val="nil"/>
          <w:insideV w:val="nil"/>
        </w:tcBorders>
        <w:shd w:val="clear" w:color="auto" w:fill="F5A219" w:themeFill="accent2"/>
      </w:tcPr>
    </w:tblStylePr>
    <w:tblStylePr w:type="lastRow">
      <w:rPr>
        <w:b/>
        <w:bCs/>
      </w:rPr>
      <w:tblPr/>
      <w:tcPr>
        <w:tcBorders>
          <w:top w:val="double" w:sz="4" w:space="0" w:color="F5A219" w:themeColor="accent2"/>
        </w:tcBorders>
      </w:tcPr>
    </w:tblStylePr>
    <w:tblStylePr w:type="firstCol">
      <w:rPr>
        <w:b/>
        <w:bCs/>
      </w:rPr>
    </w:tblStylePr>
    <w:tblStylePr w:type="lastCol">
      <w:rPr>
        <w:b/>
        <w:bCs/>
      </w:rPr>
    </w:tblStylePr>
    <w:tblStylePr w:type="band1Vert">
      <w:tblPr/>
      <w:tcPr>
        <w:shd w:val="clear" w:color="auto" w:fill="FDECD1" w:themeFill="accent2" w:themeFillTint="33"/>
      </w:tcPr>
    </w:tblStylePr>
    <w:tblStylePr w:type="band1Horz">
      <w:tblPr/>
      <w:tcPr>
        <w:shd w:val="clear" w:color="auto" w:fill="FDECD1" w:themeFill="accent2" w:themeFillTint="33"/>
      </w:tcPr>
    </w:tblStylePr>
  </w:style>
  <w:style w:type="table" w:styleId="TableauGrille4-Accentuation3">
    <w:name w:val="Grid Table 4 Accent 3"/>
    <w:basedOn w:val="TableauNormal"/>
    <w:uiPriority w:val="49"/>
    <w:rsid w:val="00B57FC7"/>
    <w:pPr>
      <w:spacing w:after="0" w:line="240" w:lineRule="auto"/>
    </w:pPr>
    <w:tblPr>
      <w:tblStyleRowBandSize w:val="1"/>
      <w:tblStyleColBandSize w:val="1"/>
      <w:tblBorders>
        <w:top w:val="single" w:sz="4" w:space="0" w:color="EF9B71" w:themeColor="accent3" w:themeTint="99"/>
        <w:left w:val="single" w:sz="4" w:space="0" w:color="EF9B71" w:themeColor="accent3" w:themeTint="99"/>
        <w:bottom w:val="single" w:sz="4" w:space="0" w:color="EF9B71" w:themeColor="accent3" w:themeTint="99"/>
        <w:right w:val="single" w:sz="4" w:space="0" w:color="EF9B71" w:themeColor="accent3" w:themeTint="99"/>
        <w:insideH w:val="single" w:sz="4" w:space="0" w:color="EF9B71" w:themeColor="accent3" w:themeTint="99"/>
        <w:insideV w:val="single" w:sz="4" w:space="0" w:color="EF9B71" w:themeColor="accent3" w:themeTint="99"/>
      </w:tblBorders>
    </w:tblPr>
    <w:tblStylePr w:type="firstRow">
      <w:rPr>
        <w:b/>
        <w:bCs/>
        <w:color w:val="FFFFFF" w:themeColor="background1"/>
      </w:rPr>
      <w:tblPr/>
      <w:tcPr>
        <w:tcBorders>
          <w:top w:val="single" w:sz="4" w:space="0" w:color="DE5B19" w:themeColor="accent3"/>
          <w:left w:val="single" w:sz="4" w:space="0" w:color="DE5B19" w:themeColor="accent3"/>
          <w:bottom w:val="single" w:sz="4" w:space="0" w:color="DE5B19" w:themeColor="accent3"/>
          <w:right w:val="single" w:sz="4" w:space="0" w:color="DE5B19" w:themeColor="accent3"/>
          <w:insideH w:val="nil"/>
          <w:insideV w:val="nil"/>
        </w:tcBorders>
        <w:shd w:val="clear" w:color="auto" w:fill="DE5B19" w:themeFill="accent3"/>
      </w:tcPr>
    </w:tblStylePr>
    <w:tblStylePr w:type="lastRow">
      <w:rPr>
        <w:b/>
        <w:bCs/>
      </w:rPr>
      <w:tblPr/>
      <w:tcPr>
        <w:tcBorders>
          <w:top w:val="double" w:sz="4" w:space="0" w:color="DE5B19" w:themeColor="accent3"/>
        </w:tcBorders>
      </w:tcPr>
    </w:tblStylePr>
    <w:tblStylePr w:type="firstCol">
      <w:rPr>
        <w:b/>
        <w:bCs/>
      </w:rPr>
    </w:tblStylePr>
    <w:tblStylePr w:type="lastCol">
      <w:rPr>
        <w:b/>
        <w:bCs/>
      </w:rPr>
    </w:tblStylePr>
    <w:tblStylePr w:type="band1Vert">
      <w:tblPr/>
      <w:tcPr>
        <w:shd w:val="clear" w:color="auto" w:fill="F9DDCF" w:themeFill="accent3" w:themeFillTint="33"/>
      </w:tcPr>
    </w:tblStylePr>
    <w:tblStylePr w:type="band1Horz">
      <w:tblPr/>
      <w:tcPr>
        <w:shd w:val="clear" w:color="auto" w:fill="F9DDCF" w:themeFill="accent3" w:themeFillTint="33"/>
      </w:tcPr>
    </w:tblStylePr>
  </w:style>
  <w:style w:type="table" w:styleId="TableauGrille4-Accentuation4">
    <w:name w:val="Grid Table 4 Accent 4"/>
    <w:basedOn w:val="TableauNormal"/>
    <w:uiPriority w:val="49"/>
    <w:rsid w:val="00B57FC7"/>
    <w:pPr>
      <w:spacing w:after="0" w:line="240" w:lineRule="auto"/>
    </w:pPr>
    <w:tblPr>
      <w:tblStyleRowBandSize w:val="1"/>
      <w:tblStyleColBandSize w:val="1"/>
      <w:tblBorders>
        <w:top w:val="single" w:sz="4" w:space="0" w:color="D6E370" w:themeColor="accent4" w:themeTint="99"/>
        <w:left w:val="single" w:sz="4" w:space="0" w:color="D6E370" w:themeColor="accent4" w:themeTint="99"/>
        <w:bottom w:val="single" w:sz="4" w:space="0" w:color="D6E370" w:themeColor="accent4" w:themeTint="99"/>
        <w:right w:val="single" w:sz="4" w:space="0" w:color="D6E370" w:themeColor="accent4" w:themeTint="99"/>
        <w:insideH w:val="single" w:sz="4" w:space="0" w:color="D6E370" w:themeColor="accent4" w:themeTint="99"/>
        <w:insideV w:val="single" w:sz="4" w:space="0" w:color="D6E370" w:themeColor="accent4" w:themeTint="99"/>
      </w:tblBorders>
    </w:tblPr>
    <w:tblStylePr w:type="firstRow">
      <w:rPr>
        <w:b/>
        <w:bCs/>
        <w:color w:val="FFFFFF" w:themeColor="background1"/>
      </w:rPr>
      <w:tblPr/>
      <w:tcPr>
        <w:tcBorders>
          <w:top w:val="single" w:sz="4" w:space="0" w:color="ACBC25" w:themeColor="accent4"/>
          <w:left w:val="single" w:sz="4" w:space="0" w:color="ACBC25" w:themeColor="accent4"/>
          <w:bottom w:val="single" w:sz="4" w:space="0" w:color="ACBC25" w:themeColor="accent4"/>
          <w:right w:val="single" w:sz="4" w:space="0" w:color="ACBC25" w:themeColor="accent4"/>
          <w:insideH w:val="nil"/>
          <w:insideV w:val="nil"/>
        </w:tcBorders>
        <w:shd w:val="clear" w:color="auto" w:fill="ACBC25" w:themeFill="accent4"/>
      </w:tcPr>
    </w:tblStylePr>
    <w:tblStylePr w:type="lastRow">
      <w:rPr>
        <w:b/>
        <w:bCs/>
      </w:rPr>
      <w:tblPr/>
      <w:tcPr>
        <w:tcBorders>
          <w:top w:val="double" w:sz="4" w:space="0" w:color="ACBC25" w:themeColor="accent4"/>
        </w:tcBorders>
      </w:tcPr>
    </w:tblStylePr>
    <w:tblStylePr w:type="firstCol">
      <w:rPr>
        <w:b/>
        <w:bCs/>
      </w:rPr>
    </w:tblStylePr>
    <w:tblStylePr w:type="lastCol">
      <w:rPr>
        <w:b/>
        <w:bCs/>
      </w:rPr>
    </w:tblStylePr>
    <w:tblStylePr w:type="band1Vert">
      <w:tblPr/>
      <w:tcPr>
        <w:shd w:val="clear" w:color="auto" w:fill="F1F5CF" w:themeFill="accent4" w:themeFillTint="33"/>
      </w:tcPr>
    </w:tblStylePr>
    <w:tblStylePr w:type="band1Horz">
      <w:tblPr/>
      <w:tcPr>
        <w:shd w:val="clear" w:color="auto" w:fill="F1F5CF" w:themeFill="accent4" w:themeFillTint="33"/>
      </w:tcPr>
    </w:tblStylePr>
  </w:style>
  <w:style w:type="table" w:styleId="TableauGrille4-Accentuation5">
    <w:name w:val="Grid Table 4 Accent 5"/>
    <w:basedOn w:val="TableauNormal"/>
    <w:uiPriority w:val="49"/>
    <w:rsid w:val="00B57FC7"/>
    <w:pPr>
      <w:spacing w:after="0" w:line="240" w:lineRule="auto"/>
    </w:pPr>
    <w:tblPr>
      <w:tblStyleRowBandSize w:val="1"/>
      <w:tblStyleColBandSize w:val="1"/>
      <w:tblBorders>
        <w:top w:val="single" w:sz="4" w:space="0" w:color="E69737" w:themeColor="accent5" w:themeTint="99"/>
        <w:left w:val="single" w:sz="4" w:space="0" w:color="E69737" w:themeColor="accent5" w:themeTint="99"/>
        <w:bottom w:val="single" w:sz="4" w:space="0" w:color="E69737" w:themeColor="accent5" w:themeTint="99"/>
        <w:right w:val="single" w:sz="4" w:space="0" w:color="E69737" w:themeColor="accent5" w:themeTint="99"/>
        <w:insideH w:val="single" w:sz="4" w:space="0" w:color="E69737" w:themeColor="accent5" w:themeTint="99"/>
        <w:insideV w:val="single" w:sz="4" w:space="0" w:color="E69737" w:themeColor="accent5" w:themeTint="99"/>
      </w:tblBorders>
    </w:tblPr>
    <w:tblStylePr w:type="firstRow">
      <w:rPr>
        <w:b/>
        <w:bCs/>
        <w:color w:val="FFFFFF" w:themeColor="background1"/>
      </w:rPr>
      <w:tblPr/>
      <w:tcPr>
        <w:tcBorders>
          <w:top w:val="single" w:sz="4" w:space="0" w:color="7B4A0F" w:themeColor="accent5"/>
          <w:left w:val="single" w:sz="4" w:space="0" w:color="7B4A0F" w:themeColor="accent5"/>
          <w:bottom w:val="single" w:sz="4" w:space="0" w:color="7B4A0F" w:themeColor="accent5"/>
          <w:right w:val="single" w:sz="4" w:space="0" w:color="7B4A0F" w:themeColor="accent5"/>
          <w:insideH w:val="nil"/>
          <w:insideV w:val="nil"/>
        </w:tcBorders>
        <w:shd w:val="clear" w:color="auto" w:fill="7B4A0F" w:themeFill="accent5"/>
      </w:tcPr>
    </w:tblStylePr>
    <w:tblStylePr w:type="lastRow">
      <w:rPr>
        <w:b/>
        <w:bCs/>
      </w:rPr>
      <w:tblPr/>
      <w:tcPr>
        <w:tcBorders>
          <w:top w:val="double" w:sz="4" w:space="0" w:color="7B4A0F" w:themeColor="accent5"/>
        </w:tcBorders>
      </w:tcPr>
    </w:tblStylePr>
    <w:tblStylePr w:type="firstCol">
      <w:rPr>
        <w:b/>
        <w:bCs/>
      </w:rPr>
    </w:tblStylePr>
    <w:tblStylePr w:type="lastCol">
      <w:rPr>
        <w:b/>
        <w:bCs/>
      </w:rPr>
    </w:tblStylePr>
    <w:tblStylePr w:type="band1Vert">
      <w:tblPr/>
      <w:tcPr>
        <w:shd w:val="clear" w:color="auto" w:fill="F7DCBC" w:themeFill="accent5" w:themeFillTint="33"/>
      </w:tcPr>
    </w:tblStylePr>
    <w:tblStylePr w:type="band1Horz">
      <w:tblPr/>
      <w:tcPr>
        <w:shd w:val="clear" w:color="auto" w:fill="F7DCBC" w:themeFill="accent5" w:themeFillTint="33"/>
      </w:tcPr>
    </w:tblStylePr>
  </w:style>
  <w:style w:type="table" w:styleId="TableauGrille4-Accentuation6">
    <w:name w:val="Grid Table 4 Accent 6"/>
    <w:basedOn w:val="TableauNormal"/>
    <w:uiPriority w:val="49"/>
    <w:rsid w:val="00B57FC7"/>
    <w:pPr>
      <w:spacing w:after="0" w:line="240" w:lineRule="auto"/>
    </w:pPr>
    <w:tblPr>
      <w:tblStyleRowBandSize w:val="1"/>
      <w:tblStyleColBandSize w:val="1"/>
      <w:tblBorders>
        <w:top w:val="single" w:sz="4" w:space="0" w:color="D65564" w:themeColor="accent6" w:themeTint="99"/>
        <w:left w:val="single" w:sz="4" w:space="0" w:color="D65564" w:themeColor="accent6" w:themeTint="99"/>
        <w:bottom w:val="single" w:sz="4" w:space="0" w:color="D65564" w:themeColor="accent6" w:themeTint="99"/>
        <w:right w:val="single" w:sz="4" w:space="0" w:color="D65564" w:themeColor="accent6" w:themeTint="99"/>
        <w:insideH w:val="single" w:sz="4" w:space="0" w:color="D65564" w:themeColor="accent6" w:themeTint="99"/>
        <w:insideV w:val="single" w:sz="4" w:space="0" w:color="D65564" w:themeColor="accent6" w:themeTint="99"/>
      </w:tblBorders>
    </w:tblPr>
    <w:tblStylePr w:type="firstRow">
      <w:rPr>
        <w:b/>
        <w:bCs/>
        <w:color w:val="FFFFFF" w:themeColor="background1"/>
      </w:rPr>
      <w:tblPr/>
      <w:tcPr>
        <w:tcBorders>
          <w:top w:val="single" w:sz="4" w:space="0" w:color="801F2B" w:themeColor="accent6"/>
          <w:left w:val="single" w:sz="4" w:space="0" w:color="801F2B" w:themeColor="accent6"/>
          <w:bottom w:val="single" w:sz="4" w:space="0" w:color="801F2B" w:themeColor="accent6"/>
          <w:right w:val="single" w:sz="4" w:space="0" w:color="801F2B" w:themeColor="accent6"/>
          <w:insideH w:val="nil"/>
          <w:insideV w:val="nil"/>
        </w:tcBorders>
        <w:shd w:val="clear" w:color="auto" w:fill="801F2B" w:themeFill="accent6"/>
      </w:tcPr>
    </w:tblStylePr>
    <w:tblStylePr w:type="lastRow">
      <w:rPr>
        <w:b/>
        <w:bCs/>
      </w:rPr>
      <w:tblPr/>
      <w:tcPr>
        <w:tcBorders>
          <w:top w:val="double" w:sz="4" w:space="0" w:color="801F2B" w:themeColor="accent6"/>
        </w:tcBorders>
      </w:tcPr>
    </w:tblStylePr>
    <w:tblStylePr w:type="firstCol">
      <w:rPr>
        <w:b/>
        <w:bCs/>
      </w:rPr>
    </w:tblStylePr>
    <w:tblStylePr w:type="lastCol">
      <w:rPr>
        <w:b/>
        <w:bCs/>
      </w:rPr>
    </w:tblStylePr>
    <w:tblStylePr w:type="band1Vert">
      <w:tblPr/>
      <w:tcPr>
        <w:shd w:val="clear" w:color="auto" w:fill="F1C6CB" w:themeFill="accent6" w:themeFillTint="33"/>
      </w:tcPr>
    </w:tblStylePr>
    <w:tblStylePr w:type="band1Horz">
      <w:tblPr/>
      <w:tcPr>
        <w:shd w:val="clear" w:color="auto" w:fill="F1C6CB" w:themeFill="accent6" w:themeFillTint="33"/>
      </w:tcPr>
    </w:tblStylePr>
  </w:style>
  <w:style w:type="table" w:styleId="TableauGrille5Fonc">
    <w:name w:val="Grid Table 5 Dark"/>
    <w:basedOn w:val="Tableau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8D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413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413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413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4136" w:themeFill="accent1"/>
      </w:tcPr>
    </w:tblStylePr>
    <w:tblStylePr w:type="band1Vert">
      <w:tblPr/>
      <w:tcPr>
        <w:shd w:val="clear" w:color="auto" w:fill="F7B2AE" w:themeFill="accent1" w:themeFillTint="66"/>
      </w:tcPr>
    </w:tblStylePr>
    <w:tblStylePr w:type="band1Horz">
      <w:tblPr/>
      <w:tcPr>
        <w:shd w:val="clear" w:color="auto" w:fill="F7B2AE" w:themeFill="accent1" w:themeFillTint="66"/>
      </w:tcPr>
    </w:tblStylePr>
  </w:style>
  <w:style w:type="table" w:styleId="TableauGrille5Fonc-Accentuation2">
    <w:name w:val="Grid Table 5 Dark Accent 2"/>
    <w:basedOn w:val="Tableau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A21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A21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A21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A219" w:themeFill="accent2"/>
      </w:tcPr>
    </w:tblStylePr>
    <w:tblStylePr w:type="band1Vert">
      <w:tblPr/>
      <w:tcPr>
        <w:shd w:val="clear" w:color="auto" w:fill="FBD9A3" w:themeFill="accent2" w:themeFillTint="66"/>
      </w:tcPr>
    </w:tblStylePr>
    <w:tblStylePr w:type="band1Horz">
      <w:tblPr/>
      <w:tcPr>
        <w:shd w:val="clear" w:color="auto" w:fill="FBD9A3" w:themeFill="accent2" w:themeFillTint="66"/>
      </w:tcPr>
    </w:tblStylePr>
  </w:style>
  <w:style w:type="table" w:styleId="TableauGrille5Fonc-Accentuation3">
    <w:name w:val="Grid Table 5 Dark Accent 3"/>
    <w:basedOn w:val="Tableau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C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5B1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5B1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5B1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5B19" w:themeFill="accent3"/>
      </w:tcPr>
    </w:tblStylePr>
    <w:tblStylePr w:type="band1Vert">
      <w:tblPr/>
      <w:tcPr>
        <w:shd w:val="clear" w:color="auto" w:fill="F4BCA0" w:themeFill="accent3" w:themeFillTint="66"/>
      </w:tcPr>
    </w:tblStylePr>
    <w:tblStylePr w:type="band1Horz">
      <w:tblPr/>
      <w:tcPr>
        <w:shd w:val="clear" w:color="auto" w:fill="F4BCA0" w:themeFill="accent3" w:themeFillTint="66"/>
      </w:tcPr>
    </w:tblStylePr>
  </w:style>
  <w:style w:type="table" w:styleId="TableauGrille5Fonc-Accentuation4">
    <w:name w:val="Grid Table 5 Dark Accent 4"/>
    <w:basedOn w:val="Tableau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5C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CBC2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CBC2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CBC2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CBC25" w:themeFill="accent4"/>
      </w:tcPr>
    </w:tblStylePr>
    <w:tblStylePr w:type="band1Vert">
      <w:tblPr/>
      <w:tcPr>
        <w:shd w:val="clear" w:color="auto" w:fill="E3EC9F" w:themeFill="accent4" w:themeFillTint="66"/>
      </w:tcPr>
    </w:tblStylePr>
    <w:tblStylePr w:type="band1Horz">
      <w:tblPr/>
      <w:tcPr>
        <w:shd w:val="clear" w:color="auto" w:fill="E3EC9F" w:themeFill="accent4" w:themeFillTint="66"/>
      </w:tcPr>
    </w:tblStylePr>
  </w:style>
  <w:style w:type="table" w:styleId="TableauGrille5Fonc-Accentuation5">
    <w:name w:val="Grid Table 5 Dark Accent 5"/>
    <w:basedOn w:val="Tableau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DCB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B4A0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B4A0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B4A0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B4A0F" w:themeFill="accent5"/>
      </w:tcPr>
    </w:tblStylePr>
    <w:tblStylePr w:type="band1Vert">
      <w:tblPr/>
      <w:tcPr>
        <w:shd w:val="clear" w:color="auto" w:fill="EEB97A" w:themeFill="accent5" w:themeFillTint="66"/>
      </w:tcPr>
    </w:tblStylePr>
    <w:tblStylePr w:type="band1Horz">
      <w:tblPr/>
      <w:tcPr>
        <w:shd w:val="clear" w:color="auto" w:fill="EEB97A" w:themeFill="accent5" w:themeFillTint="66"/>
      </w:tcPr>
    </w:tblStylePr>
  </w:style>
  <w:style w:type="table" w:styleId="TableauGrille5Fonc-Accentuation6">
    <w:name w:val="Grid Table 5 Dark Accent 6"/>
    <w:basedOn w:val="TableauNormal"/>
    <w:uiPriority w:val="50"/>
    <w:rsid w:val="00B57F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C6C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1F2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1F2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1F2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1F2B" w:themeFill="accent6"/>
      </w:tcPr>
    </w:tblStylePr>
    <w:tblStylePr w:type="band1Vert">
      <w:tblPr/>
      <w:tcPr>
        <w:shd w:val="clear" w:color="auto" w:fill="E38D98" w:themeFill="accent6" w:themeFillTint="66"/>
      </w:tcPr>
    </w:tblStylePr>
    <w:tblStylePr w:type="band1Horz">
      <w:tblPr/>
      <w:tcPr>
        <w:shd w:val="clear" w:color="auto" w:fill="E38D98" w:themeFill="accent6" w:themeFillTint="66"/>
      </w:tcPr>
    </w:tblStylePr>
  </w:style>
  <w:style w:type="table" w:styleId="TableauGrille6Couleur">
    <w:name w:val="Grid Table 6 Colorful"/>
    <w:basedOn w:val="TableauNormal"/>
    <w:uiPriority w:val="51"/>
    <w:rsid w:val="00B57FC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B57FC7"/>
    <w:pPr>
      <w:spacing w:after="0" w:line="240" w:lineRule="auto"/>
    </w:pPr>
    <w:rPr>
      <w:color w:val="C71C12" w:themeColor="accent1" w:themeShade="BF"/>
    </w:rPr>
    <w:tblPr>
      <w:tblStyleRowBandSize w:val="1"/>
      <w:tblStyleColBandSize w:val="1"/>
      <w:tblBorders>
        <w:top w:val="single" w:sz="4" w:space="0" w:color="F48C86" w:themeColor="accent1" w:themeTint="99"/>
        <w:left w:val="single" w:sz="4" w:space="0" w:color="F48C86" w:themeColor="accent1" w:themeTint="99"/>
        <w:bottom w:val="single" w:sz="4" w:space="0" w:color="F48C86" w:themeColor="accent1" w:themeTint="99"/>
        <w:right w:val="single" w:sz="4" w:space="0" w:color="F48C86" w:themeColor="accent1" w:themeTint="99"/>
        <w:insideH w:val="single" w:sz="4" w:space="0" w:color="F48C86" w:themeColor="accent1" w:themeTint="99"/>
        <w:insideV w:val="single" w:sz="4" w:space="0" w:color="F48C86" w:themeColor="accent1" w:themeTint="99"/>
      </w:tblBorders>
    </w:tblPr>
    <w:tblStylePr w:type="firstRow">
      <w:rPr>
        <w:b/>
        <w:bCs/>
      </w:rPr>
      <w:tblPr/>
      <w:tcPr>
        <w:tcBorders>
          <w:bottom w:val="single" w:sz="12" w:space="0" w:color="F48C86" w:themeColor="accent1" w:themeTint="99"/>
        </w:tcBorders>
      </w:tcPr>
    </w:tblStylePr>
    <w:tblStylePr w:type="lastRow">
      <w:rPr>
        <w:b/>
        <w:bCs/>
      </w:rPr>
      <w:tblPr/>
      <w:tcPr>
        <w:tcBorders>
          <w:top w:val="double" w:sz="4" w:space="0" w:color="F48C86" w:themeColor="accent1" w:themeTint="99"/>
        </w:tcBorders>
      </w:tcPr>
    </w:tblStylePr>
    <w:tblStylePr w:type="firstCol">
      <w:rPr>
        <w:b/>
        <w:bCs/>
      </w:rPr>
    </w:tblStylePr>
    <w:tblStylePr w:type="lastCol">
      <w:rPr>
        <w:b/>
        <w:bCs/>
      </w:rPr>
    </w:tblStylePr>
    <w:tblStylePr w:type="band1Vert">
      <w:tblPr/>
      <w:tcPr>
        <w:shd w:val="clear" w:color="auto" w:fill="FBD8D6" w:themeFill="accent1" w:themeFillTint="33"/>
      </w:tcPr>
    </w:tblStylePr>
    <w:tblStylePr w:type="band1Horz">
      <w:tblPr/>
      <w:tcPr>
        <w:shd w:val="clear" w:color="auto" w:fill="FBD8D6" w:themeFill="accent1" w:themeFillTint="33"/>
      </w:tcPr>
    </w:tblStylePr>
  </w:style>
  <w:style w:type="table" w:styleId="TableauGrille6Couleur-Accentuation2">
    <w:name w:val="Grid Table 6 Colorful Accent 2"/>
    <w:basedOn w:val="TableauNormal"/>
    <w:uiPriority w:val="51"/>
    <w:rsid w:val="00B57FC7"/>
    <w:pPr>
      <w:spacing w:after="0" w:line="240" w:lineRule="auto"/>
    </w:pPr>
    <w:rPr>
      <w:color w:val="C17B08" w:themeColor="accent2" w:themeShade="BF"/>
    </w:rPr>
    <w:tblPr>
      <w:tblStyleRowBandSize w:val="1"/>
      <w:tblStyleColBandSize w:val="1"/>
      <w:tblBorders>
        <w:top w:val="single" w:sz="4" w:space="0" w:color="F9C675" w:themeColor="accent2" w:themeTint="99"/>
        <w:left w:val="single" w:sz="4" w:space="0" w:color="F9C675" w:themeColor="accent2" w:themeTint="99"/>
        <w:bottom w:val="single" w:sz="4" w:space="0" w:color="F9C675" w:themeColor="accent2" w:themeTint="99"/>
        <w:right w:val="single" w:sz="4" w:space="0" w:color="F9C675" w:themeColor="accent2" w:themeTint="99"/>
        <w:insideH w:val="single" w:sz="4" w:space="0" w:color="F9C675" w:themeColor="accent2" w:themeTint="99"/>
        <w:insideV w:val="single" w:sz="4" w:space="0" w:color="F9C675" w:themeColor="accent2" w:themeTint="99"/>
      </w:tblBorders>
    </w:tblPr>
    <w:tblStylePr w:type="firstRow">
      <w:rPr>
        <w:b/>
        <w:bCs/>
      </w:rPr>
      <w:tblPr/>
      <w:tcPr>
        <w:tcBorders>
          <w:bottom w:val="single" w:sz="12" w:space="0" w:color="F9C675" w:themeColor="accent2" w:themeTint="99"/>
        </w:tcBorders>
      </w:tcPr>
    </w:tblStylePr>
    <w:tblStylePr w:type="lastRow">
      <w:rPr>
        <w:b/>
        <w:bCs/>
      </w:rPr>
      <w:tblPr/>
      <w:tcPr>
        <w:tcBorders>
          <w:top w:val="double" w:sz="4" w:space="0" w:color="F9C675" w:themeColor="accent2" w:themeTint="99"/>
        </w:tcBorders>
      </w:tcPr>
    </w:tblStylePr>
    <w:tblStylePr w:type="firstCol">
      <w:rPr>
        <w:b/>
        <w:bCs/>
      </w:rPr>
    </w:tblStylePr>
    <w:tblStylePr w:type="lastCol">
      <w:rPr>
        <w:b/>
        <w:bCs/>
      </w:rPr>
    </w:tblStylePr>
    <w:tblStylePr w:type="band1Vert">
      <w:tblPr/>
      <w:tcPr>
        <w:shd w:val="clear" w:color="auto" w:fill="FDECD1" w:themeFill="accent2" w:themeFillTint="33"/>
      </w:tcPr>
    </w:tblStylePr>
    <w:tblStylePr w:type="band1Horz">
      <w:tblPr/>
      <w:tcPr>
        <w:shd w:val="clear" w:color="auto" w:fill="FDECD1" w:themeFill="accent2" w:themeFillTint="33"/>
      </w:tcPr>
    </w:tblStylePr>
  </w:style>
  <w:style w:type="table" w:styleId="TableauGrille6Couleur-Accentuation3">
    <w:name w:val="Grid Table 6 Colorful Accent 3"/>
    <w:basedOn w:val="TableauNormal"/>
    <w:uiPriority w:val="51"/>
    <w:rsid w:val="00B57FC7"/>
    <w:pPr>
      <w:spacing w:after="0" w:line="240" w:lineRule="auto"/>
    </w:pPr>
    <w:rPr>
      <w:color w:val="A64312" w:themeColor="accent3" w:themeShade="BF"/>
    </w:rPr>
    <w:tblPr>
      <w:tblStyleRowBandSize w:val="1"/>
      <w:tblStyleColBandSize w:val="1"/>
      <w:tblBorders>
        <w:top w:val="single" w:sz="4" w:space="0" w:color="EF9B71" w:themeColor="accent3" w:themeTint="99"/>
        <w:left w:val="single" w:sz="4" w:space="0" w:color="EF9B71" w:themeColor="accent3" w:themeTint="99"/>
        <w:bottom w:val="single" w:sz="4" w:space="0" w:color="EF9B71" w:themeColor="accent3" w:themeTint="99"/>
        <w:right w:val="single" w:sz="4" w:space="0" w:color="EF9B71" w:themeColor="accent3" w:themeTint="99"/>
        <w:insideH w:val="single" w:sz="4" w:space="0" w:color="EF9B71" w:themeColor="accent3" w:themeTint="99"/>
        <w:insideV w:val="single" w:sz="4" w:space="0" w:color="EF9B71" w:themeColor="accent3" w:themeTint="99"/>
      </w:tblBorders>
    </w:tblPr>
    <w:tblStylePr w:type="firstRow">
      <w:rPr>
        <w:b/>
        <w:bCs/>
      </w:rPr>
      <w:tblPr/>
      <w:tcPr>
        <w:tcBorders>
          <w:bottom w:val="single" w:sz="12" w:space="0" w:color="EF9B71" w:themeColor="accent3" w:themeTint="99"/>
        </w:tcBorders>
      </w:tcPr>
    </w:tblStylePr>
    <w:tblStylePr w:type="lastRow">
      <w:rPr>
        <w:b/>
        <w:bCs/>
      </w:rPr>
      <w:tblPr/>
      <w:tcPr>
        <w:tcBorders>
          <w:top w:val="double" w:sz="4" w:space="0" w:color="EF9B71" w:themeColor="accent3" w:themeTint="99"/>
        </w:tcBorders>
      </w:tcPr>
    </w:tblStylePr>
    <w:tblStylePr w:type="firstCol">
      <w:rPr>
        <w:b/>
        <w:bCs/>
      </w:rPr>
    </w:tblStylePr>
    <w:tblStylePr w:type="lastCol">
      <w:rPr>
        <w:b/>
        <w:bCs/>
      </w:rPr>
    </w:tblStylePr>
    <w:tblStylePr w:type="band1Vert">
      <w:tblPr/>
      <w:tcPr>
        <w:shd w:val="clear" w:color="auto" w:fill="F9DDCF" w:themeFill="accent3" w:themeFillTint="33"/>
      </w:tcPr>
    </w:tblStylePr>
    <w:tblStylePr w:type="band1Horz">
      <w:tblPr/>
      <w:tcPr>
        <w:shd w:val="clear" w:color="auto" w:fill="F9DDCF" w:themeFill="accent3" w:themeFillTint="33"/>
      </w:tcPr>
    </w:tblStylePr>
  </w:style>
  <w:style w:type="table" w:styleId="TableauGrille6Couleur-Accentuation4">
    <w:name w:val="Grid Table 6 Colorful Accent 4"/>
    <w:basedOn w:val="TableauNormal"/>
    <w:uiPriority w:val="51"/>
    <w:rsid w:val="00B57FC7"/>
    <w:pPr>
      <w:spacing w:after="0" w:line="240" w:lineRule="auto"/>
    </w:pPr>
    <w:rPr>
      <w:color w:val="808C1B" w:themeColor="accent4" w:themeShade="BF"/>
    </w:rPr>
    <w:tblPr>
      <w:tblStyleRowBandSize w:val="1"/>
      <w:tblStyleColBandSize w:val="1"/>
      <w:tblBorders>
        <w:top w:val="single" w:sz="4" w:space="0" w:color="D6E370" w:themeColor="accent4" w:themeTint="99"/>
        <w:left w:val="single" w:sz="4" w:space="0" w:color="D6E370" w:themeColor="accent4" w:themeTint="99"/>
        <w:bottom w:val="single" w:sz="4" w:space="0" w:color="D6E370" w:themeColor="accent4" w:themeTint="99"/>
        <w:right w:val="single" w:sz="4" w:space="0" w:color="D6E370" w:themeColor="accent4" w:themeTint="99"/>
        <w:insideH w:val="single" w:sz="4" w:space="0" w:color="D6E370" w:themeColor="accent4" w:themeTint="99"/>
        <w:insideV w:val="single" w:sz="4" w:space="0" w:color="D6E370" w:themeColor="accent4" w:themeTint="99"/>
      </w:tblBorders>
    </w:tblPr>
    <w:tblStylePr w:type="firstRow">
      <w:rPr>
        <w:b/>
        <w:bCs/>
      </w:rPr>
      <w:tblPr/>
      <w:tcPr>
        <w:tcBorders>
          <w:bottom w:val="single" w:sz="12" w:space="0" w:color="D6E370" w:themeColor="accent4" w:themeTint="99"/>
        </w:tcBorders>
      </w:tcPr>
    </w:tblStylePr>
    <w:tblStylePr w:type="lastRow">
      <w:rPr>
        <w:b/>
        <w:bCs/>
      </w:rPr>
      <w:tblPr/>
      <w:tcPr>
        <w:tcBorders>
          <w:top w:val="double" w:sz="4" w:space="0" w:color="D6E370" w:themeColor="accent4" w:themeTint="99"/>
        </w:tcBorders>
      </w:tcPr>
    </w:tblStylePr>
    <w:tblStylePr w:type="firstCol">
      <w:rPr>
        <w:b/>
        <w:bCs/>
      </w:rPr>
    </w:tblStylePr>
    <w:tblStylePr w:type="lastCol">
      <w:rPr>
        <w:b/>
        <w:bCs/>
      </w:rPr>
    </w:tblStylePr>
    <w:tblStylePr w:type="band1Vert">
      <w:tblPr/>
      <w:tcPr>
        <w:shd w:val="clear" w:color="auto" w:fill="F1F5CF" w:themeFill="accent4" w:themeFillTint="33"/>
      </w:tcPr>
    </w:tblStylePr>
    <w:tblStylePr w:type="band1Horz">
      <w:tblPr/>
      <w:tcPr>
        <w:shd w:val="clear" w:color="auto" w:fill="F1F5CF" w:themeFill="accent4" w:themeFillTint="33"/>
      </w:tcPr>
    </w:tblStylePr>
  </w:style>
  <w:style w:type="table" w:styleId="TableauGrille6Couleur-Accentuation5">
    <w:name w:val="Grid Table 6 Colorful Accent 5"/>
    <w:basedOn w:val="TableauNormal"/>
    <w:uiPriority w:val="51"/>
    <w:rsid w:val="00B57FC7"/>
    <w:pPr>
      <w:spacing w:after="0" w:line="240" w:lineRule="auto"/>
    </w:pPr>
    <w:rPr>
      <w:color w:val="5C370B" w:themeColor="accent5" w:themeShade="BF"/>
    </w:rPr>
    <w:tblPr>
      <w:tblStyleRowBandSize w:val="1"/>
      <w:tblStyleColBandSize w:val="1"/>
      <w:tblBorders>
        <w:top w:val="single" w:sz="4" w:space="0" w:color="E69737" w:themeColor="accent5" w:themeTint="99"/>
        <w:left w:val="single" w:sz="4" w:space="0" w:color="E69737" w:themeColor="accent5" w:themeTint="99"/>
        <w:bottom w:val="single" w:sz="4" w:space="0" w:color="E69737" w:themeColor="accent5" w:themeTint="99"/>
        <w:right w:val="single" w:sz="4" w:space="0" w:color="E69737" w:themeColor="accent5" w:themeTint="99"/>
        <w:insideH w:val="single" w:sz="4" w:space="0" w:color="E69737" w:themeColor="accent5" w:themeTint="99"/>
        <w:insideV w:val="single" w:sz="4" w:space="0" w:color="E69737" w:themeColor="accent5" w:themeTint="99"/>
      </w:tblBorders>
    </w:tblPr>
    <w:tblStylePr w:type="firstRow">
      <w:rPr>
        <w:b/>
        <w:bCs/>
      </w:rPr>
      <w:tblPr/>
      <w:tcPr>
        <w:tcBorders>
          <w:bottom w:val="single" w:sz="12" w:space="0" w:color="E69737" w:themeColor="accent5" w:themeTint="99"/>
        </w:tcBorders>
      </w:tcPr>
    </w:tblStylePr>
    <w:tblStylePr w:type="lastRow">
      <w:rPr>
        <w:b/>
        <w:bCs/>
      </w:rPr>
      <w:tblPr/>
      <w:tcPr>
        <w:tcBorders>
          <w:top w:val="double" w:sz="4" w:space="0" w:color="E69737" w:themeColor="accent5" w:themeTint="99"/>
        </w:tcBorders>
      </w:tcPr>
    </w:tblStylePr>
    <w:tblStylePr w:type="firstCol">
      <w:rPr>
        <w:b/>
        <w:bCs/>
      </w:rPr>
    </w:tblStylePr>
    <w:tblStylePr w:type="lastCol">
      <w:rPr>
        <w:b/>
        <w:bCs/>
      </w:rPr>
    </w:tblStylePr>
    <w:tblStylePr w:type="band1Vert">
      <w:tblPr/>
      <w:tcPr>
        <w:shd w:val="clear" w:color="auto" w:fill="F7DCBC" w:themeFill="accent5" w:themeFillTint="33"/>
      </w:tcPr>
    </w:tblStylePr>
    <w:tblStylePr w:type="band1Horz">
      <w:tblPr/>
      <w:tcPr>
        <w:shd w:val="clear" w:color="auto" w:fill="F7DCBC" w:themeFill="accent5" w:themeFillTint="33"/>
      </w:tcPr>
    </w:tblStylePr>
  </w:style>
  <w:style w:type="table" w:styleId="TableauGrille6Couleur-Accentuation6">
    <w:name w:val="Grid Table 6 Colorful Accent 6"/>
    <w:basedOn w:val="TableauNormal"/>
    <w:uiPriority w:val="51"/>
    <w:rsid w:val="00B57FC7"/>
    <w:pPr>
      <w:spacing w:after="0" w:line="240" w:lineRule="auto"/>
    </w:pPr>
    <w:rPr>
      <w:color w:val="5F1720" w:themeColor="accent6" w:themeShade="BF"/>
    </w:rPr>
    <w:tblPr>
      <w:tblStyleRowBandSize w:val="1"/>
      <w:tblStyleColBandSize w:val="1"/>
      <w:tblBorders>
        <w:top w:val="single" w:sz="4" w:space="0" w:color="D65564" w:themeColor="accent6" w:themeTint="99"/>
        <w:left w:val="single" w:sz="4" w:space="0" w:color="D65564" w:themeColor="accent6" w:themeTint="99"/>
        <w:bottom w:val="single" w:sz="4" w:space="0" w:color="D65564" w:themeColor="accent6" w:themeTint="99"/>
        <w:right w:val="single" w:sz="4" w:space="0" w:color="D65564" w:themeColor="accent6" w:themeTint="99"/>
        <w:insideH w:val="single" w:sz="4" w:space="0" w:color="D65564" w:themeColor="accent6" w:themeTint="99"/>
        <w:insideV w:val="single" w:sz="4" w:space="0" w:color="D65564" w:themeColor="accent6" w:themeTint="99"/>
      </w:tblBorders>
    </w:tblPr>
    <w:tblStylePr w:type="firstRow">
      <w:rPr>
        <w:b/>
        <w:bCs/>
      </w:rPr>
      <w:tblPr/>
      <w:tcPr>
        <w:tcBorders>
          <w:bottom w:val="single" w:sz="12" w:space="0" w:color="D65564" w:themeColor="accent6" w:themeTint="99"/>
        </w:tcBorders>
      </w:tcPr>
    </w:tblStylePr>
    <w:tblStylePr w:type="lastRow">
      <w:rPr>
        <w:b/>
        <w:bCs/>
      </w:rPr>
      <w:tblPr/>
      <w:tcPr>
        <w:tcBorders>
          <w:top w:val="double" w:sz="4" w:space="0" w:color="D65564" w:themeColor="accent6" w:themeTint="99"/>
        </w:tcBorders>
      </w:tcPr>
    </w:tblStylePr>
    <w:tblStylePr w:type="firstCol">
      <w:rPr>
        <w:b/>
        <w:bCs/>
      </w:rPr>
    </w:tblStylePr>
    <w:tblStylePr w:type="lastCol">
      <w:rPr>
        <w:b/>
        <w:bCs/>
      </w:rPr>
    </w:tblStylePr>
    <w:tblStylePr w:type="band1Vert">
      <w:tblPr/>
      <w:tcPr>
        <w:shd w:val="clear" w:color="auto" w:fill="F1C6CB" w:themeFill="accent6" w:themeFillTint="33"/>
      </w:tcPr>
    </w:tblStylePr>
    <w:tblStylePr w:type="band1Horz">
      <w:tblPr/>
      <w:tcPr>
        <w:shd w:val="clear" w:color="auto" w:fill="F1C6CB" w:themeFill="accent6" w:themeFillTint="33"/>
      </w:tcPr>
    </w:tblStylePr>
  </w:style>
  <w:style w:type="table" w:styleId="TableauGrille7Couleur">
    <w:name w:val="Grid Table 7 Colorful"/>
    <w:basedOn w:val="TableauNormal"/>
    <w:uiPriority w:val="52"/>
    <w:rsid w:val="00B57FC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B57FC7"/>
    <w:pPr>
      <w:spacing w:after="0" w:line="240" w:lineRule="auto"/>
    </w:pPr>
    <w:rPr>
      <w:color w:val="C71C12" w:themeColor="accent1" w:themeShade="BF"/>
    </w:rPr>
    <w:tblPr>
      <w:tblStyleRowBandSize w:val="1"/>
      <w:tblStyleColBandSize w:val="1"/>
      <w:tblBorders>
        <w:top w:val="single" w:sz="4" w:space="0" w:color="F48C86" w:themeColor="accent1" w:themeTint="99"/>
        <w:left w:val="single" w:sz="4" w:space="0" w:color="F48C86" w:themeColor="accent1" w:themeTint="99"/>
        <w:bottom w:val="single" w:sz="4" w:space="0" w:color="F48C86" w:themeColor="accent1" w:themeTint="99"/>
        <w:right w:val="single" w:sz="4" w:space="0" w:color="F48C86" w:themeColor="accent1" w:themeTint="99"/>
        <w:insideH w:val="single" w:sz="4" w:space="0" w:color="F48C86" w:themeColor="accent1" w:themeTint="99"/>
        <w:insideV w:val="single" w:sz="4" w:space="0" w:color="F48C8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D8D6" w:themeFill="accent1" w:themeFillTint="33"/>
      </w:tcPr>
    </w:tblStylePr>
    <w:tblStylePr w:type="band1Horz">
      <w:tblPr/>
      <w:tcPr>
        <w:shd w:val="clear" w:color="auto" w:fill="FBD8D6" w:themeFill="accent1" w:themeFillTint="33"/>
      </w:tcPr>
    </w:tblStylePr>
    <w:tblStylePr w:type="neCell">
      <w:tblPr/>
      <w:tcPr>
        <w:tcBorders>
          <w:bottom w:val="single" w:sz="4" w:space="0" w:color="F48C86" w:themeColor="accent1" w:themeTint="99"/>
        </w:tcBorders>
      </w:tcPr>
    </w:tblStylePr>
    <w:tblStylePr w:type="nwCell">
      <w:tblPr/>
      <w:tcPr>
        <w:tcBorders>
          <w:bottom w:val="single" w:sz="4" w:space="0" w:color="F48C86" w:themeColor="accent1" w:themeTint="99"/>
        </w:tcBorders>
      </w:tcPr>
    </w:tblStylePr>
    <w:tblStylePr w:type="seCell">
      <w:tblPr/>
      <w:tcPr>
        <w:tcBorders>
          <w:top w:val="single" w:sz="4" w:space="0" w:color="F48C86" w:themeColor="accent1" w:themeTint="99"/>
        </w:tcBorders>
      </w:tcPr>
    </w:tblStylePr>
    <w:tblStylePr w:type="swCell">
      <w:tblPr/>
      <w:tcPr>
        <w:tcBorders>
          <w:top w:val="single" w:sz="4" w:space="0" w:color="F48C86" w:themeColor="accent1" w:themeTint="99"/>
        </w:tcBorders>
      </w:tcPr>
    </w:tblStylePr>
  </w:style>
  <w:style w:type="table" w:styleId="TableauGrille7Couleur-Accentuation2">
    <w:name w:val="Grid Table 7 Colorful Accent 2"/>
    <w:basedOn w:val="TableauNormal"/>
    <w:uiPriority w:val="52"/>
    <w:rsid w:val="00B57FC7"/>
    <w:pPr>
      <w:spacing w:after="0" w:line="240" w:lineRule="auto"/>
    </w:pPr>
    <w:rPr>
      <w:color w:val="C17B08" w:themeColor="accent2" w:themeShade="BF"/>
    </w:rPr>
    <w:tblPr>
      <w:tblStyleRowBandSize w:val="1"/>
      <w:tblStyleColBandSize w:val="1"/>
      <w:tblBorders>
        <w:top w:val="single" w:sz="4" w:space="0" w:color="F9C675" w:themeColor="accent2" w:themeTint="99"/>
        <w:left w:val="single" w:sz="4" w:space="0" w:color="F9C675" w:themeColor="accent2" w:themeTint="99"/>
        <w:bottom w:val="single" w:sz="4" w:space="0" w:color="F9C675" w:themeColor="accent2" w:themeTint="99"/>
        <w:right w:val="single" w:sz="4" w:space="0" w:color="F9C675" w:themeColor="accent2" w:themeTint="99"/>
        <w:insideH w:val="single" w:sz="4" w:space="0" w:color="F9C675" w:themeColor="accent2" w:themeTint="99"/>
        <w:insideV w:val="single" w:sz="4" w:space="0" w:color="F9C6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1" w:themeFill="accent2" w:themeFillTint="33"/>
      </w:tcPr>
    </w:tblStylePr>
    <w:tblStylePr w:type="band1Horz">
      <w:tblPr/>
      <w:tcPr>
        <w:shd w:val="clear" w:color="auto" w:fill="FDECD1" w:themeFill="accent2" w:themeFillTint="33"/>
      </w:tcPr>
    </w:tblStylePr>
    <w:tblStylePr w:type="neCell">
      <w:tblPr/>
      <w:tcPr>
        <w:tcBorders>
          <w:bottom w:val="single" w:sz="4" w:space="0" w:color="F9C675" w:themeColor="accent2" w:themeTint="99"/>
        </w:tcBorders>
      </w:tcPr>
    </w:tblStylePr>
    <w:tblStylePr w:type="nwCell">
      <w:tblPr/>
      <w:tcPr>
        <w:tcBorders>
          <w:bottom w:val="single" w:sz="4" w:space="0" w:color="F9C675" w:themeColor="accent2" w:themeTint="99"/>
        </w:tcBorders>
      </w:tcPr>
    </w:tblStylePr>
    <w:tblStylePr w:type="seCell">
      <w:tblPr/>
      <w:tcPr>
        <w:tcBorders>
          <w:top w:val="single" w:sz="4" w:space="0" w:color="F9C675" w:themeColor="accent2" w:themeTint="99"/>
        </w:tcBorders>
      </w:tcPr>
    </w:tblStylePr>
    <w:tblStylePr w:type="swCell">
      <w:tblPr/>
      <w:tcPr>
        <w:tcBorders>
          <w:top w:val="single" w:sz="4" w:space="0" w:color="F9C675" w:themeColor="accent2" w:themeTint="99"/>
        </w:tcBorders>
      </w:tcPr>
    </w:tblStylePr>
  </w:style>
  <w:style w:type="table" w:styleId="TableauGrille7Couleur-Accentuation3">
    <w:name w:val="Grid Table 7 Colorful Accent 3"/>
    <w:basedOn w:val="TableauNormal"/>
    <w:uiPriority w:val="52"/>
    <w:rsid w:val="00B57FC7"/>
    <w:pPr>
      <w:spacing w:after="0" w:line="240" w:lineRule="auto"/>
    </w:pPr>
    <w:rPr>
      <w:color w:val="A64312" w:themeColor="accent3" w:themeShade="BF"/>
    </w:rPr>
    <w:tblPr>
      <w:tblStyleRowBandSize w:val="1"/>
      <w:tblStyleColBandSize w:val="1"/>
      <w:tblBorders>
        <w:top w:val="single" w:sz="4" w:space="0" w:color="EF9B71" w:themeColor="accent3" w:themeTint="99"/>
        <w:left w:val="single" w:sz="4" w:space="0" w:color="EF9B71" w:themeColor="accent3" w:themeTint="99"/>
        <w:bottom w:val="single" w:sz="4" w:space="0" w:color="EF9B71" w:themeColor="accent3" w:themeTint="99"/>
        <w:right w:val="single" w:sz="4" w:space="0" w:color="EF9B71" w:themeColor="accent3" w:themeTint="99"/>
        <w:insideH w:val="single" w:sz="4" w:space="0" w:color="EF9B71" w:themeColor="accent3" w:themeTint="99"/>
        <w:insideV w:val="single" w:sz="4" w:space="0" w:color="EF9B7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CF" w:themeFill="accent3" w:themeFillTint="33"/>
      </w:tcPr>
    </w:tblStylePr>
    <w:tblStylePr w:type="band1Horz">
      <w:tblPr/>
      <w:tcPr>
        <w:shd w:val="clear" w:color="auto" w:fill="F9DDCF" w:themeFill="accent3" w:themeFillTint="33"/>
      </w:tcPr>
    </w:tblStylePr>
    <w:tblStylePr w:type="neCell">
      <w:tblPr/>
      <w:tcPr>
        <w:tcBorders>
          <w:bottom w:val="single" w:sz="4" w:space="0" w:color="EF9B71" w:themeColor="accent3" w:themeTint="99"/>
        </w:tcBorders>
      </w:tcPr>
    </w:tblStylePr>
    <w:tblStylePr w:type="nwCell">
      <w:tblPr/>
      <w:tcPr>
        <w:tcBorders>
          <w:bottom w:val="single" w:sz="4" w:space="0" w:color="EF9B71" w:themeColor="accent3" w:themeTint="99"/>
        </w:tcBorders>
      </w:tcPr>
    </w:tblStylePr>
    <w:tblStylePr w:type="seCell">
      <w:tblPr/>
      <w:tcPr>
        <w:tcBorders>
          <w:top w:val="single" w:sz="4" w:space="0" w:color="EF9B71" w:themeColor="accent3" w:themeTint="99"/>
        </w:tcBorders>
      </w:tcPr>
    </w:tblStylePr>
    <w:tblStylePr w:type="swCell">
      <w:tblPr/>
      <w:tcPr>
        <w:tcBorders>
          <w:top w:val="single" w:sz="4" w:space="0" w:color="EF9B71" w:themeColor="accent3" w:themeTint="99"/>
        </w:tcBorders>
      </w:tcPr>
    </w:tblStylePr>
  </w:style>
  <w:style w:type="table" w:styleId="TableauGrille7Couleur-Accentuation4">
    <w:name w:val="Grid Table 7 Colorful Accent 4"/>
    <w:basedOn w:val="TableauNormal"/>
    <w:uiPriority w:val="52"/>
    <w:rsid w:val="00B57FC7"/>
    <w:pPr>
      <w:spacing w:after="0" w:line="240" w:lineRule="auto"/>
    </w:pPr>
    <w:rPr>
      <w:color w:val="808C1B" w:themeColor="accent4" w:themeShade="BF"/>
    </w:rPr>
    <w:tblPr>
      <w:tblStyleRowBandSize w:val="1"/>
      <w:tblStyleColBandSize w:val="1"/>
      <w:tblBorders>
        <w:top w:val="single" w:sz="4" w:space="0" w:color="D6E370" w:themeColor="accent4" w:themeTint="99"/>
        <w:left w:val="single" w:sz="4" w:space="0" w:color="D6E370" w:themeColor="accent4" w:themeTint="99"/>
        <w:bottom w:val="single" w:sz="4" w:space="0" w:color="D6E370" w:themeColor="accent4" w:themeTint="99"/>
        <w:right w:val="single" w:sz="4" w:space="0" w:color="D6E370" w:themeColor="accent4" w:themeTint="99"/>
        <w:insideH w:val="single" w:sz="4" w:space="0" w:color="D6E370" w:themeColor="accent4" w:themeTint="99"/>
        <w:insideV w:val="single" w:sz="4" w:space="0" w:color="D6E37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5CF" w:themeFill="accent4" w:themeFillTint="33"/>
      </w:tcPr>
    </w:tblStylePr>
    <w:tblStylePr w:type="band1Horz">
      <w:tblPr/>
      <w:tcPr>
        <w:shd w:val="clear" w:color="auto" w:fill="F1F5CF" w:themeFill="accent4" w:themeFillTint="33"/>
      </w:tcPr>
    </w:tblStylePr>
    <w:tblStylePr w:type="neCell">
      <w:tblPr/>
      <w:tcPr>
        <w:tcBorders>
          <w:bottom w:val="single" w:sz="4" w:space="0" w:color="D6E370" w:themeColor="accent4" w:themeTint="99"/>
        </w:tcBorders>
      </w:tcPr>
    </w:tblStylePr>
    <w:tblStylePr w:type="nwCell">
      <w:tblPr/>
      <w:tcPr>
        <w:tcBorders>
          <w:bottom w:val="single" w:sz="4" w:space="0" w:color="D6E370" w:themeColor="accent4" w:themeTint="99"/>
        </w:tcBorders>
      </w:tcPr>
    </w:tblStylePr>
    <w:tblStylePr w:type="seCell">
      <w:tblPr/>
      <w:tcPr>
        <w:tcBorders>
          <w:top w:val="single" w:sz="4" w:space="0" w:color="D6E370" w:themeColor="accent4" w:themeTint="99"/>
        </w:tcBorders>
      </w:tcPr>
    </w:tblStylePr>
    <w:tblStylePr w:type="swCell">
      <w:tblPr/>
      <w:tcPr>
        <w:tcBorders>
          <w:top w:val="single" w:sz="4" w:space="0" w:color="D6E370" w:themeColor="accent4" w:themeTint="99"/>
        </w:tcBorders>
      </w:tcPr>
    </w:tblStylePr>
  </w:style>
  <w:style w:type="table" w:styleId="TableauGrille7Couleur-Accentuation5">
    <w:name w:val="Grid Table 7 Colorful Accent 5"/>
    <w:basedOn w:val="TableauNormal"/>
    <w:uiPriority w:val="52"/>
    <w:rsid w:val="00B57FC7"/>
    <w:pPr>
      <w:spacing w:after="0" w:line="240" w:lineRule="auto"/>
    </w:pPr>
    <w:rPr>
      <w:color w:val="5C370B" w:themeColor="accent5" w:themeShade="BF"/>
    </w:rPr>
    <w:tblPr>
      <w:tblStyleRowBandSize w:val="1"/>
      <w:tblStyleColBandSize w:val="1"/>
      <w:tblBorders>
        <w:top w:val="single" w:sz="4" w:space="0" w:color="E69737" w:themeColor="accent5" w:themeTint="99"/>
        <w:left w:val="single" w:sz="4" w:space="0" w:color="E69737" w:themeColor="accent5" w:themeTint="99"/>
        <w:bottom w:val="single" w:sz="4" w:space="0" w:color="E69737" w:themeColor="accent5" w:themeTint="99"/>
        <w:right w:val="single" w:sz="4" w:space="0" w:color="E69737" w:themeColor="accent5" w:themeTint="99"/>
        <w:insideH w:val="single" w:sz="4" w:space="0" w:color="E69737" w:themeColor="accent5" w:themeTint="99"/>
        <w:insideV w:val="single" w:sz="4" w:space="0" w:color="E6973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DCBC" w:themeFill="accent5" w:themeFillTint="33"/>
      </w:tcPr>
    </w:tblStylePr>
    <w:tblStylePr w:type="band1Horz">
      <w:tblPr/>
      <w:tcPr>
        <w:shd w:val="clear" w:color="auto" w:fill="F7DCBC" w:themeFill="accent5" w:themeFillTint="33"/>
      </w:tcPr>
    </w:tblStylePr>
    <w:tblStylePr w:type="neCell">
      <w:tblPr/>
      <w:tcPr>
        <w:tcBorders>
          <w:bottom w:val="single" w:sz="4" w:space="0" w:color="E69737" w:themeColor="accent5" w:themeTint="99"/>
        </w:tcBorders>
      </w:tcPr>
    </w:tblStylePr>
    <w:tblStylePr w:type="nwCell">
      <w:tblPr/>
      <w:tcPr>
        <w:tcBorders>
          <w:bottom w:val="single" w:sz="4" w:space="0" w:color="E69737" w:themeColor="accent5" w:themeTint="99"/>
        </w:tcBorders>
      </w:tcPr>
    </w:tblStylePr>
    <w:tblStylePr w:type="seCell">
      <w:tblPr/>
      <w:tcPr>
        <w:tcBorders>
          <w:top w:val="single" w:sz="4" w:space="0" w:color="E69737" w:themeColor="accent5" w:themeTint="99"/>
        </w:tcBorders>
      </w:tcPr>
    </w:tblStylePr>
    <w:tblStylePr w:type="swCell">
      <w:tblPr/>
      <w:tcPr>
        <w:tcBorders>
          <w:top w:val="single" w:sz="4" w:space="0" w:color="E69737" w:themeColor="accent5" w:themeTint="99"/>
        </w:tcBorders>
      </w:tcPr>
    </w:tblStylePr>
  </w:style>
  <w:style w:type="table" w:styleId="TableauGrille7Couleur-Accentuation6">
    <w:name w:val="Grid Table 7 Colorful Accent 6"/>
    <w:basedOn w:val="TableauNormal"/>
    <w:uiPriority w:val="52"/>
    <w:rsid w:val="00B57FC7"/>
    <w:pPr>
      <w:spacing w:after="0" w:line="240" w:lineRule="auto"/>
    </w:pPr>
    <w:rPr>
      <w:color w:val="5F1720" w:themeColor="accent6" w:themeShade="BF"/>
    </w:rPr>
    <w:tblPr>
      <w:tblStyleRowBandSize w:val="1"/>
      <w:tblStyleColBandSize w:val="1"/>
      <w:tblBorders>
        <w:top w:val="single" w:sz="4" w:space="0" w:color="D65564" w:themeColor="accent6" w:themeTint="99"/>
        <w:left w:val="single" w:sz="4" w:space="0" w:color="D65564" w:themeColor="accent6" w:themeTint="99"/>
        <w:bottom w:val="single" w:sz="4" w:space="0" w:color="D65564" w:themeColor="accent6" w:themeTint="99"/>
        <w:right w:val="single" w:sz="4" w:space="0" w:color="D65564" w:themeColor="accent6" w:themeTint="99"/>
        <w:insideH w:val="single" w:sz="4" w:space="0" w:color="D65564" w:themeColor="accent6" w:themeTint="99"/>
        <w:insideV w:val="single" w:sz="4" w:space="0" w:color="D6556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CB" w:themeFill="accent6" w:themeFillTint="33"/>
      </w:tcPr>
    </w:tblStylePr>
    <w:tblStylePr w:type="band1Horz">
      <w:tblPr/>
      <w:tcPr>
        <w:shd w:val="clear" w:color="auto" w:fill="F1C6CB" w:themeFill="accent6" w:themeFillTint="33"/>
      </w:tcPr>
    </w:tblStylePr>
    <w:tblStylePr w:type="neCell">
      <w:tblPr/>
      <w:tcPr>
        <w:tcBorders>
          <w:bottom w:val="single" w:sz="4" w:space="0" w:color="D65564" w:themeColor="accent6" w:themeTint="99"/>
        </w:tcBorders>
      </w:tcPr>
    </w:tblStylePr>
    <w:tblStylePr w:type="nwCell">
      <w:tblPr/>
      <w:tcPr>
        <w:tcBorders>
          <w:bottom w:val="single" w:sz="4" w:space="0" w:color="D65564" w:themeColor="accent6" w:themeTint="99"/>
        </w:tcBorders>
      </w:tcPr>
    </w:tblStylePr>
    <w:tblStylePr w:type="seCell">
      <w:tblPr/>
      <w:tcPr>
        <w:tcBorders>
          <w:top w:val="single" w:sz="4" w:space="0" w:color="D65564" w:themeColor="accent6" w:themeTint="99"/>
        </w:tcBorders>
      </w:tcPr>
    </w:tblStylePr>
    <w:tblStylePr w:type="swCell">
      <w:tblPr/>
      <w:tcPr>
        <w:tcBorders>
          <w:top w:val="single" w:sz="4" w:space="0" w:color="D65564" w:themeColor="accent6" w:themeTint="99"/>
        </w:tcBorders>
      </w:tcPr>
    </w:tblStylePr>
  </w:style>
  <w:style w:type="character" w:customStyle="1" w:styleId="Titre6Car">
    <w:name w:val="Titre 6 Car"/>
    <w:basedOn w:val="Policepardfaut"/>
    <w:link w:val="Titre6"/>
    <w:uiPriority w:val="3"/>
    <w:semiHidden/>
    <w:rsid w:val="00B57FC7"/>
    <w:rPr>
      <w:rFonts w:asciiTheme="majorHAnsi" w:eastAsiaTheme="majorEastAsia" w:hAnsiTheme="majorHAnsi" w:cstheme="majorBidi"/>
      <w:color w:val="84130C" w:themeColor="accent1" w:themeShade="7F"/>
    </w:rPr>
  </w:style>
  <w:style w:type="character" w:customStyle="1" w:styleId="Titre7Car">
    <w:name w:val="Titre 7 Car"/>
    <w:basedOn w:val="Policepardfaut"/>
    <w:link w:val="Titre7"/>
    <w:uiPriority w:val="3"/>
    <w:semiHidden/>
    <w:rsid w:val="00B57FC7"/>
    <w:rPr>
      <w:rFonts w:asciiTheme="majorHAnsi" w:eastAsiaTheme="majorEastAsia" w:hAnsiTheme="majorHAnsi" w:cstheme="majorBidi"/>
      <w:i/>
      <w:iCs/>
      <w:color w:val="84130C" w:themeColor="accent1" w:themeShade="7F"/>
    </w:rPr>
  </w:style>
  <w:style w:type="character" w:customStyle="1" w:styleId="Titre8Car">
    <w:name w:val="Titre 8 Car"/>
    <w:basedOn w:val="Policepardfaut"/>
    <w:link w:val="Titre8"/>
    <w:uiPriority w:val="3"/>
    <w:semiHidden/>
    <w:rsid w:val="00B57FC7"/>
    <w:rPr>
      <w:rFonts w:asciiTheme="majorHAnsi" w:eastAsiaTheme="majorEastAsia" w:hAnsiTheme="majorHAnsi" w:cstheme="majorBidi"/>
      <w:color w:val="272727" w:themeColor="text1" w:themeTint="D8"/>
      <w:sz w:val="22"/>
      <w:szCs w:val="21"/>
    </w:rPr>
  </w:style>
  <w:style w:type="character" w:customStyle="1" w:styleId="Titre9Car">
    <w:name w:val="Titre 9 Car"/>
    <w:basedOn w:val="Policepardfaut"/>
    <w:link w:val="Titre9"/>
    <w:uiPriority w:val="3"/>
    <w:semiHidden/>
    <w:rsid w:val="00B57FC7"/>
    <w:rPr>
      <w:rFonts w:asciiTheme="majorHAnsi" w:eastAsiaTheme="majorEastAsia" w:hAnsiTheme="majorHAnsi" w:cstheme="majorBidi"/>
      <w:i/>
      <w:iCs/>
      <w:color w:val="272727" w:themeColor="text1" w:themeTint="D8"/>
      <w:sz w:val="22"/>
      <w:szCs w:val="21"/>
    </w:rPr>
  </w:style>
  <w:style w:type="character" w:styleId="AcronymeHTML">
    <w:name w:val="HTML Acronym"/>
    <w:basedOn w:val="Policepardfaut"/>
    <w:uiPriority w:val="99"/>
    <w:semiHidden/>
    <w:unhideWhenUsed/>
    <w:rsid w:val="00B57FC7"/>
  </w:style>
  <w:style w:type="paragraph" w:styleId="AdresseHTML">
    <w:name w:val="HTML Address"/>
    <w:basedOn w:val="Normal"/>
    <w:link w:val="AdresseHTMLCar"/>
    <w:uiPriority w:val="99"/>
    <w:semiHidden/>
    <w:unhideWhenUsed/>
    <w:rsid w:val="00B57FC7"/>
    <w:pPr>
      <w:spacing w:after="0" w:line="240" w:lineRule="auto"/>
    </w:pPr>
    <w:rPr>
      <w:i/>
      <w:iCs/>
    </w:rPr>
  </w:style>
  <w:style w:type="character" w:customStyle="1" w:styleId="AdresseHTMLCar">
    <w:name w:val="Adresse HTML Car"/>
    <w:basedOn w:val="Policepardfaut"/>
    <w:link w:val="AdresseHTML"/>
    <w:uiPriority w:val="99"/>
    <w:semiHidden/>
    <w:rsid w:val="00B57FC7"/>
    <w:rPr>
      <w:i/>
      <w:iCs/>
    </w:rPr>
  </w:style>
  <w:style w:type="character" w:styleId="CitationHTML">
    <w:name w:val="HTML Cite"/>
    <w:basedOn w:val="Policepardfaut"/>
    <w:uiPriority w:val="99"/>
    <w:semiHidden/>
    <w:unhideWhenUsed/>
    <w:rsid w:val="00B57FC7"/>
    <w:rPr>
      <w:i/>
      <w:iCs/>
    </w:rPr>
  </w:style>
  <w:style w:type="character" w:styleId="CodeHTML">
    <w:name w:val="HTML Code"/>
    <w:basedOn w:val="Policepardfaut"/>
    <w:uiPriority w:val="99"/>
    <w:semiHidden/>
    <w:unhideWhenUsed/>
    <w:rsid w:val="00B57FC7"/>
    <w:rPr>
      <w:rFonts w:ascii="Consolas" w:hAnsi="Consolas"/>
      <w:sz w:val="22"/>
      <w:szCs w:val="20"/>
    </w:rPr>
  </w:style>
  <w:style w:type="character" w:styleId="DfinitionHTML">
    <w:name w:val="HTML Definition"/>
    <w:basedOn w:val="Policepardfaut"/>
    <w:uiPriority w:val="99"/>
    <w:semiHidden/>
    <w:unhideWhenUsed/>
    <w:rsid w:val="00B57FC7"/>
    <w:rPr>
      <w:i/>
      <w:iCs/>
    </w:rPr>
  </w:style>
  <w:style w:type="character" w:styleId="ClavierHTML">
    <w:name w:val="HTML Keyboard"/>
    <w:basedOn w:val="Policepardfaut"/>
    <w:uiPriority w:val="99"/>
    <w:semiHidden/>
    <w:unhideWhenUsed/>
    <w:rsid w:val="00B57FC7"/>
    <w:rPr>
      <w:rFonts w:ascii="Consolas" w:hAnsi="Consolas"/>
      <w:sz w:val="22"/>
      <w:szCs w:val="20"/>
    </w:rPr>
  </w:style>
  <w:style w:type="paragraph" w:styleId="PrformatHTML">
    <w:name w:val="HTML Preformatted"/>
    <w:basedOn w:val="Normal"/>
    <w:link w:val="PrformatHTMLCar"/>
    <w:uiPriority w:val="99"/>
    <w:semiHidden/>
    <w:unhideWhenUsed/>
    <w:rsid w:val="00B57FC7"/>
    <w:pPr>
      <w:spacing w:after="0" w:line="240" w:lineRule="auto"/>
    </w:pPr>
    <w:rPr>
      <w:rFonts w:ascii="Consolas" w:hAnsi="Consolas"/>
      <w:sz w:val="22"/>
      <w:szCs w:val="20"/>
    </w:rPr>
  </w:style>
  <w:style w:type="character" w:customStyle="1" w:styleId="PrformatHTMLCar">
    <w:name w:val="Préformaté HTML Car"/>
    <w:basedOn w:val="Policepardfaut"/>
    <w:link w:val="PrformatHTML"/>
    <w:uiPriority w:val="99"/>
    <w:semiHidden/>
    <w:rsid w:val="00B57FC7"/>
    <w:rPr>
      <w:rFonts w:ascii="Consolas" w:hAnsi="Consolas"/>
      <w:sz w:val="22"/>
      <w:szCs w:val="20"/>
    </w:rPr>
  </w:style>
  <w:style w:type="character" w:styleId="ExempleHTML">
    <w:name w:val="HTML Sample"/>
    <w:basedOn w:val="Policepardfaut"/>
    <w:uiPriority w:val="99"/>
    <w:semiHidden/>
    <w:unhideWhenUsed/>
    <w:rsid w:val="00B57FC7"/>
    <w:rPr>
      <w:rFonts w:ascii="Consolas" w:hAnsi="Consolas"/>
      <w:sz w:val="24"/>
      <w:szCs w:val="24"/>
    </w:rPr>
  </w:style>
  <w:style w:type="character" w:styleId="MachinecrireHTML">
    <w:name w:val="HTML Typewriter"/>
    <w:basedOn w:val="Policepardfaut"/>
    <w:uiPriority w:val="99"/>
    <w:semiHidden/>
    <w:unhideWhenUsed/>
    <w:rsid w:val="00B57FC7"/>
    <w:rPr>
      <w:rFonts w:ascii="Consolas" w:hAnsi="Consolas"/>
      <w:sz w:val="22"/>
      <w:szCs w:val="20"/>
    </w:rPr>
  </w:style>
  <w:style w:type="character" w:styleId="VariableHTML">
    <w:name w:val="HTML Variable"/>
    <w:basedOn w:val="Policepardfaut"/>
    <w:uiPriority w:val="99"/>
    <w:semiHidden/>
    <w:unhideWhenUsed/>
    <w:rsid w:val="00B57FC7"/>
    <w:rPr>
      <w:i/>
      <w:iCs/>
    </w:rPr>
  </w:style>
  <w:style w:type="character" w:styleId="Lienhypertexte">
    <w:name w:val="Hyperlink"/>
    <w:basedOn w:val="Policepardfaut"/>
    <w:uiPriority w:val="99"/>
    <w:unhideWhenUsed/>
    <w:rsid w:val="00B57FC7"/>
    <w:rPr>
      <w:color w:val="3D537E" w:themeColor="hyperlink"/>
      <w:u w:val="single"/>
    </w:rPr>
  </w:style>
  <w:style w:type="paragraph" w:styleId="Index1">
    <w:name w:val="index 1"/>
    <w:basedOn w:val="Normal"/>
    <w:next w:val="Normal"/>
    <w:autoRedefine/>
    <w:uiPriority w:val="99"/>
    <w:semiHidden/>
    <w:unhideWhenUsed/>
    <w:rsid w:val="00B57FC7"/>
    <w:pPr>
      <w:spacing w:after="0" w:line="240" w:lineRule="auto"/>
      <w:ind w:left="260" w:hanging="260"/>
    </w:pPr>
  </w:style>
  <w:style w:type="paragraph" w:styleId="Index2">
    <w:name w:val="index 2"/>
    <w:basedOn w:val="Normal"/>
    <w:next w:val="Normal"/>
    <w:autoRedefine/>
    <w:uiPriority w:val="99"/>
    <w:semiHidden/>
    <w:unhideWhenUsed/>
    <w:rsid w:val="00B57FC7"/>
    <w:pPr>
      <w:spacing w:after="0" w:line="240" w:lineRule="auto"/>
      <w:ind w:left="520" w:hanging="260"/>
    </w:pPr>
  </w:style>
  <w:style w:type="paragraph" w:styleId="Index3">
    <w:name w:val="index 3"/>
    <w:basedOn w:val="Normal"/>
    <w:next w:val="Normal"/>
    <w:autoRedefine/>
    <w:uiPriority w:val="99"/>
    <w:semiHidden/>
    <w:unhideWhenUsed/>
    <w:rsid w:val="00B57FC7"/>
    <w:pPr>
      <w:spacing w:after="0" w:line="240" w:lineRule="auto"/>
      <w:ind w:left="780" w:hanging="260"/>
    </w:pPr>
  </w:style>
  <w:style w:type="paragraph" w:styleId="Index4">
    <w:name w:val="index 4"/>
    <w:basedOn w:val="Normal"/>
    <w:next w:val="Normal"/>
    <w:autoRedefine/>
    <w:uiPriority w:val="99"/>
    <w:semiHidden/>
    <w:unhideWhenUsed/>
    <w:rsid w:val="00B57FC7"/>
    <w:pPr>
      <w:spacing w:after="0" w:line="240" w:lineRule="auto"/>
      <w:ind w:left="1040" w:hanging="260"/>
    </w:pPr>
  </w:style>
  <w:style w:type="paragraph" w:styleId="Index5">
    <w:name w:val="index 5"/>
    <w:basedOn w:val="Normal"/>
    <w:next w:val="Normal"/>
    <w:autoRedefine/>
    <w:uiPriority w:val="99"/>
    <w:semiHidden/>
    <w:unhideWhenUsed/>
    <w:rsid w:val="00B57FC7"/>
    <w:pPr>
      <w:spacing w:after="0" w:line="240" w:lineRule="auto"/>
      <w:ind w:left="1300" w:hanging="260"/>
    </w:pPr>
  </w:style>
  <w:style w:type="paragraph" w:styleId="Index6">
    <w:name w:val="index 6"/>
    <w:basedOn w:val="Normal"/>
    <w:next w:val="Normal"/>
    <w:autoRedefine/>
    <w:uiPriority w:val="99"/>
    <w:semiHidden/>
    <w:unhideWhenUsed/>
    <w:rsid w:val="00B57FC7"/>
    <w:pPr>
      <w:spacing w:after="0" w:line="240" w:lineRule="auto"/>
      <w:ind w:left="1560" w:hanging="260"/>
    </w:pPr>
  </w:style>
  <w:style w:type="paragraph" w:styleId="Index7">
    <w:name w:val="index 7"/>
    <w:basedOn w:val="Normal"/>
    <w:next w:val="Normal"/>
    <w:autoRedefine/>
    <w:uiPriority w:val="99"/>
    <w:semiHidden/>
    <w:unhideWhenUsed/>
    <w:rsid w:val="00B57FC7"/>
    <w:pPr>
      <w:spacing w:after="0" w:line="240" w:lineRule="auto"/>
      <w:ind w:left="1820" w:hanging="260"/>
    </w:pPr>
  </w:style>
  <w:style w:type="paragraph" w:styleId="Index8">
    <w:name w:val="index 8"/>
    <w:basedOn w:val="Normal"/>
    <w:next w:val="Normal"/>
    <w:autoRedefine/>
    <w:uiPriority w:val="99"/>
    <w:semiHidden/>
    <w:unhideWhenUsed/>
    <w:rsid w:val="00B57FC7"/>
    <w:pPr>
      <w:spacing w:after="0" w:line="240" w:lineRule="auto"/>
      <w:ind w:left="2080" w:hanging="260"/>
    </w:pPr>
  </w:style>
  <w:style w:type="paragraph" w:styleId="Index9">
    <w:name w:val="index 9"/>
    <w:basedOn w:val="Normal"/>
    <w:next w:val="Normal"/>
    <w:autoRedefine/>
    <w:uiPriority w:val="99"/>
    <w:semiHidden/>
    <w:unhideWhenUsed/>
    <w:rsid w:val="00B57FC7"/>
    <w:pPr>
      <w:spacing w:after="0" w:line="240" w:lineRule="auto"/>
      <w:ind w:left="2340" w:hanging="260"/>
    </w:pPr>
  </w:style>
  <w:style w:type="paragraph" w:styleId="Titreindex">
    <w:name w:val="index heading"/>
    <w:basedOn w:val="Normal"/>
    <w:next w:val="Index1"/>
    <w:uiPriority w:val="99"/>
    <w:semiHidden/>
    <w:unhideWhenUsed/>
    <w:rsid w:val="00B57FC7"/>
    <w:rPr>
      <w:rFonts w:asciiTheme="majorHAnsi" w:eastAsiaTheme="majorEastAsia" w:hAnsiTheme="majorHAnsi" w:cstheme="majorBidi"/>
      <w:b/>
      <w:bCs/>
    </w:rPr>
  </w:style>
  <w:style w:type="table" w:styleId="Grilleclaire">
    <w:name w:val="Light Grid"/>
    <w:basedOn w:val="TableauNormal"/>
    <w:uiPriority w:val="62"/>
    <w:semiHidden/>
    <w:unhideWhenUsed/>
    <w:rsid w:val="00B57FC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B57FC7"/>
    <w:pPr>
      <w:spacing w:after="0" w:line="240" w:lineRule="auto"/>
    </w:pPr>
    <w:tblPr>
      <w:tblStyleRowBandSize w:val="1"/>
      <w:tblStyleColBandSize w:val="1"/>
      <w:tblBorders>
        <w:top w:val="single" w:sz="8" w:space="0" w:color="ED4136" w:themeColor="accent1"/>
        <w:left w:val="single" w:sz="8" w:space="0" w:color="ED4136" w:themeColor="accent1"/>
        <w:bottom w:val="single" w:sz="8" w:space="0" w:color="ED4136" w:themeColor="accent1"/>
        <w:right w:val="single" w:sz="8" w:space="0" w:color="ED4136" w:themeColor="accent1"/>
        <w:insideH w:val="single" w:sz="8" w:space="0" w:color="ED4136" w:themeColor="accent1"/>
        <w:insideV w:val="single" w:sz="8" w:space="0" w:color="ED413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4136" w:themeColor="accent1"/>
          <w:left w:val="single" w:sz="8" w:space="0" w:color="ED4136" w:themeColor="accent1"/>
          <w:bottom w:val="single" w:sz="18" w:space="0" w:color="ED4136" w:themeColor="accent1"/>
          <w:right w:val="single" w:sz="8" w:space="0" w:color="ED4136" w:themeColor="accent1"/>
          <w:insideH w:val="nil"/>
          <w:insideV w:val="single" w:sz="8" w:space="0" w:color="ED413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4136" w:themeColor="accent1"/>
          <w:left w:val="single" w:sz="8" w:space="0" w:color="ED4136" w:themeColor="accent1"/>
          <w:bottom w:val="single" w:sz="8" w:space="0" w:color="ED4136" w:themeColor="accent1"/>
          <w:right w:val="single" w:sz="8" w:space="0" w:color="ED4136" w:themeColor="accent1"/>
          <w:insideH w:val="nil"/>
          <w:insideV w:val="single" w:sz="8" w:space="0" w:color="ED413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4136" w:themeColor="accent1"/>
          <w:left w:val="single" w:sz="8" w:space="0" w:color="ED4136" w:themeColor="accent1"/>
          <w:bottom w:val="single" w:sz="8" w:space="0" w:color="ED4136" w:themeColor="accent1"/>
          <w:right w:val="single" w:sz="8" w:space="0" w:color="ED4136" w:themeColor="accent1"/>
        </w:tcBorders>
      </w:tcPr>
    </w:tblStylePr>
    <w:tblStylePr w:type="band1Vert">
      <w:tblPr/>
      <w:tcPr>
        <w:tcBorders>
          <w:top w:val="single" w:sz="8" w:space="0" w:color="ED4136" w:themeColor="accent1"/>
          <w:left w:val="single" w:sz="8" w:space="0" w:color="ED4136" w:themeColor="accent1"/>
          <w:bottom w:val="single" w:sz="8" w:space="0" w:color="ED4136" w:themeColor="accent1"/>
          <w:right w:val="single" w:sz="8" w:space="0" w:color="ED4136" w:themeColor="accent1"/>
        </w:tcBorders>
        <w:shd w:val="clear" w:color="auto" w:fill="FACFCD" w:themeFill="accent1" w:themeFillTint="3F"/>
      </w:tcPr>
    </w:tblStylePr>
    <w:tblStylePr w:type="band1Horz">
      <w:tblPr/>
      <w:tcPr>
        <w:tcBorders>
          <w:top w:val="single" w:sz="8" w:space="0" w:color="ED4136" w:themeColor="accent1"/>
          <w:left w:val="single" w:sz="8" w:space="0" w:color="ED4136" w:themeColor="accent1"/>
          <w:bottom w:val="single" w:sz="8" w:space="0" w:color="ED4136" w:themeColor="accent1"/>
          <w:right w:val="single" w:sz="8" w:space="0" w:color="ED4136" w:themeColor="accent1"/>
          <w:insideV w:val="single" w:sz="8" w:space="0" w:color="ED4136" w:themeColor="accent1"/>
        </w:tcBorders>
        <w:shd w:val="clear" w:color="auto" w:fill="FACFCD" w:themeFill="accent1" w:themeFillTint="3F"/>
      </w:tcPr>
    </w:tblStylePr>
    <w:tblStylePr w:type="band2Horz">
      <w:tblPr/>
      <w:tcPr>
        <w:tcBorders>
          <w:top w:val="single" w:sz="8" w:space="0" w:color="ED4136" w:themeColor="accent1"/>
          <w:left w:val="single" w:sz="8" w:space="0" w:color="ED4136" w:themeColor="accent1"/>
          <w:bottom w:val="single" w:sz="8" w:space="0" w:color="ED4136" w:themeColor="accent1"/>
          <w:right w:val="single" w:sz="8" w:space="0" w:color="ED4136" w:themeColor="accent1"/>
          <w:insideV w:val="single" w:sz="8" w:space="0" w:color="ED4136" w:themeColor="accent1"/>
        </w:tcBorders>
      </w:tcPr>
    </w:tblStylePr>
  </w:style>
  <w:style w:type="table" w:styleId="Grilleclaire-Accent2">
    <w:name w:val="Light Grid Accent 2"/>
    <w:basedOn w:val="TableauNormal"/>
    <w:uiPriority w:val="62"/>
    <w:semiHidden/>
    <w:unhideWhenUsed/>
    <w:rsid w:val="00B57FC7"/>
    <w:pPr>
      <w:spacing w:after="0" w:line="240" w:lineRule="auto"/>
    </w:pPr>
    <w:tblPr>
      <w:tblStyleRowBandSize w:val="1"/>
      <w:tblStyleColBandSize w:val="1"/>
      <w:tblBorders>
        <w:top w:val="single" w:sz="8" w:space="0" w:color="F5A219" w:themeColor="accent2"/>
        <w:left w:val="single" w:sz="8" w:space="0" w:color="F5A219" w:themeColor="accent2"/>
        <w:bottom w:val="single" w:sz="8" w:space="0" w:color="F5A219" w:themeColor="accent2"/>
        <w:right w:val="single" w:sz="8" w:space="0" w:color="F5A219" w:themeColor="accent2"/>
        <w:insideH w:val="single" w:sz="8" w:space="0" w:color="F5A219" w:themeColor="accent2"/>
        <w:insideV w:val="single" w:sz="8" w:space="0" w:color="F5A21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A219" w:themeColor="accent2"/>
          <w:left w:val="single" w:sz="8" w:space="0" w:color="F5A219" w:themeColor="accent2"/>
          <w:bottom w:val="single" w:sz="18" w:space="0" w:color="F5A219" w:themeColor="accent2"/>
          <w:right w:val="single" w:sz="8" w:space="0" w:color="F5A219" w:themeColor="accent2"/>
          <w:insideH w:val="nil"/>
          <w:insideV w:val="single" w:sz="8" w:space="0" w:color="F5A21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A219" w:themeColor="accent2"/>
          <w:left w:val="single" w:sz="8" w:space="0" w:color="F5A219" w:themeColor="accent2"/>
          <w:bottom w:val="single" w:sz="8" w:space="0" w:color="F5A219" w:themeColor="accent2"/>
          <w:right w:val="single" w:sz="8" w:space="0" w:color="F5A219" w:themeColor="accent2"/>
          <w:insideH w:val="nil"/>
          <w:insideV w:val="single" w:sz="8" w:space="0" w:color="F5A21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A219" w:themeColor="accent2"/>
          <w:left w:val="single" w:sz="8" w:space="0" w:color="F5A219" w:themeColor="accent2"/>
          <w:bottom w:val="single" w:sz="8" w:space="0" w:color="F5A219" w:themeColor="accent2"/>
          <w:right w:val="single" w:sz="8" w:space="0" w:color="F5A219" w:themeColor="accent2"/>
        </w:tcBorders>
      </w:tcPr>
    </w:tblStylePr>
    <w:tblStylePr w:type="band1Vert">
      <w:tblPr/>
      <w:tcPr>
        <w:tcBorders>
          <w:top w:val="single" w:sz="8" w:space="0" w:color="F5A219" w:themeColor="accent2"/>
          <w:left w:val="single" w:sz="8" w:space="0" w:color="F5A219" w:themeColor="accent2"/>
          <w:bottom w:val="single" w:sz="8" w:space="0" w:color="F5A219" w:themeColor="accent2"/>
          <w:right w:val="single" w:sz="8" w:space="0" w:color="F5A219" w:themeColor="accent2"/>
        </w:tcBorders>
        <w:shd w:val="clear" w:color="auto" w:fill="FCE7C6" w:themeFill="accent2" w:themeFillTint="3F"/>
      </w:tcPr>
    </w:tblStylePr>
    <w:tblStylePr w:type="band1Horz">
      <w:tblPr/>
      <w:tcPr>
        <w:tcBorders>
          <w:top w:val="single" w:sz="8" w:space="0" w:color="F5A219" w:themeColor="accent2"/>
          <w:left w:val="single" w:sz="8" w:space="0" w:color="F5A219" w:themeColor="accent2"/>
          <w:bottom w:val="single" w:sz="8" w:space="0" w:color="F5A219" w:themeColor="accent2"/>
          <w:right w:val="single" w:sz="8" w:space="0" w:color="F5A219" w:themeColor="accent2"/>
          <w:insideV w:val="single" w:sz="8" w:space="0" w:color="F5A219" w:themeColor="accent2"/>
        </w:tcBorders>
        <w:shd w:val="clear" w:color="auto" w:fill="FCE7C6" w:themeFill="accent2" w:themeFillTint="3F"/>
      </w:tcPr>
    </w:tblStylePr>
    <w:tblStylePr w:type="band2Horz">
      <w:tblPr/>
      <w:tcPr>
        <w:tcBorders>
          <w:top w:val="single" w:sz="8" w:space="0" w:color="F5A219" w:themeColor="accent2"/>
          <w:left w:val="single" w:sz="8" w:space="0" w:color="F5A219" w:themeColor="accent2"/>
          <w:bottom w:val="single" w:sz="8" w:space="0" w:color="F5A219" w:themeColor="accent2"/>
          <w:right w:val="single" w:sz="8" w:space="0" w:color="F5A219" w:themeColor="accent2"/>
          <w:insideV w:val="single" w:sz="8" w:space="0" w:color="F5A219" w:themeColor="accent2"/>
        </w:tcBorders>
      </w:tcPr>
    </w:tblStylePr>
  </w:style>
  <w:style w:type="table" w:styleId="Grilleclaire-Accent3">
    <w:name w:val="Light Grid Accent 3"/>
    <w:basedOn w:val="TableauNormal"/>
    <w:uiPriority w:val="62"/>
    <w:semiHidden/>
    <w:unhideWhenUsed/>
    <w:rsid w:val="00B57FC7"/>
    <w:pPr>
      <w:spacing w:after="0" w:line="240" w:lineRule="auto"/>
    </w:pPr>
    <w:tblPr>
      <w:tblStyleRowBandSize w:val="1"/>
      <w:tblStyleColBandSize w:val="1"/>
      <w:tblBorders>
        <w:top w:val="single" w:sz="8" w:space="0" w:color="DE5B19" w:themeColor="accent3"/>
        <w:left w:val="single" w:sz="8" w:space="0" w:color="DE5B19" w:themeColor="accent3"/>
        <w:bottom w:val="single" w:sz="8" w:space="0" w:color="DE5B19" w:themeColor="accent3"/>
        <w:right w:val="single" w:sz="8" w:space="0" w:color="DE5B19" w:themeColor="accent3"/>
        <w:insideH w:val="single" w:sz="8" w:space="0" w:color="DE5B19" w:themeColor="accent3"/>
        <w:insideV w:val="single" w:sz="8" w:space="0" w:color="DE5B1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5B19" w:themeColor="accent3"/>
          <w:left w:val="single" w:sz="8" w:space="0" w:color="DE5B19" w:themeColor="accent3"/>
          <w:bottom w:val="single" w:sz="18" w:space="0" w:color="DE5B19" w:themeColor="accent3"/>
          <w:right w:val="single" w:sz="8" w:space="0" w:color="DE5B19" w:themeColor="accent3"/>
          <w:insideH w:val="nil"/>
          <w:insideV w:val="single" w:sz="8" w:space="0" w:color="DE5B1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5B19" w:themeColor="accent3"/>
          <w:left w:val="single" w:sz="8" w:space="0" w:color="DE5B19" w:themeColor="accent3"/>
          <w:bottom w:val="single" w:sz="8" w:space="0" w:color="DE5B19" w:themeColor="accent3"/>
          <w:right w:val="single" w:sz="8" w:space="0" w:color="DE5B19" w:themeColor="accent3"/>
          <w:insideH w:val="nil"/>
          <w:insideV w:val="single" w:sz="8" w:space="0" w:color="DE5B1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5B19" w:themeColor="accent3"/>
          <w:left w:val="single" w:sz="8" w:space="0" w:color="DE5B19" w:themeColor="accent3"/>
          <w:bottom w:val="single" w:sz="8" w:space="0" w:color="DE5B19" w:themeColor="accent3"/>
          <w:right w:val="single" w:sz="8" w:space="0" w:color="DE5B19" w:themeColor="accent3"/>
        </w:tcBorders>
      </w:tcPr>
    </w:tblStylePr>
    <w:tblStylePr w:type="band1Vert">
      <w:tblPr/>
      <w:tcPr>
        <w:tcBorders>
          <w:top w:val="single" w:sz="8" w:space="0" w:color="DE5B19" w:themeColor="accent3"/>
          <w:left w:val="single" w:sz="8" w:space="0" w:color="DE5B19" w:themeColor="accent3"/>
          <w:bottom w:val="single" w:sz="8" w:space="0" w:color="DE5B19" w:themeColor="accent3"/>
          <w:right w:val="single" w:sz="8" w:space="0" w:color="DE5B19" w:themeColor="accent3"/>
        </w:tcBorders>
        <w:shd w:val="clear" w:color="auto" w:fill="F8D5C4" w:themeFill="accent3" w:themeFillTint="3F"/>
      </w:tcPr>
    </w:tblStylePr>
    <w:tblStylePr w:type="band1Horz">
      <w:tblPr/>
      <w:tcPr>
        <w:tcBorders>
          <w:top w:val="single" w:sz="8" w:space="0" w:color="DE5B19" w:themeColor="accent3"/>
          <w:left w:val="single" w:sz="8" w:space="0" w:color="DE5B19" w:themeColor="accent3"/>
          <w:bottom w:val="single" w:sz="8" w:space="0" w:color="DE5B19" w:themeColor="accent3"/>
          <w:right w:val="single" w:sz="8" w:space="0" w:color="DE5B19" w:themeColor="accent3"/>
          <w:insideV w:val="single" w:sz="8" w:space="0" w:color="DE5B19" w:themeColor="accent3"/>
        </w:tcBorders>
        <w:shd w:val="clear" w:color="auto" w:fill="F8D5C4" w:themeFill="accent3" w:themeFillTint="3F"/>
      </w:tcPr>
    </w:tblStylePr>
    <w:tblStylePr w:type="band2Horz">
      <w:tblPr/>
      <w:tcPr>
        <w:tcBorders>
          <w:top w:val="single" w:sz="8" w:space="0" w:color="DE5B19" w:themeColor="accent3"/>
          <w:left w:val="single" w:sz="8" w:space="0" w:color="DE5B19" w:themeColor="accent3"/>
          <w:bottom w:val="single" w:sz="8" w:space="0" w:color="DE5B19" w:themeColor="accent3"/>
          <w:right w:val="single" w:sz="8" w:space="0" w:color="DE5B19" w:themeColor="accent3"/>
          <w:insideV w:val="single" w:sz="8" w:space="0" w:color="DE5B19" w:themeColor="accent3"/>
        </w:tcBorders>
      </w:tcPr>
    </w:tblStylePr>
  </w:style>
  <w:style w:type="table" w:styleId="Grilleclaire-Accent4">
    <w:name w:val="Light Grid Accent 4"/>
    <w:basedOn w:val="TableauNormal"/>
    <w:uiPriority w:val="62"/>
    <w:semiHidden/>
    <w:unhideWhenUsed/>
    <w:rsid w:val="00B57FC7"/>
    <w:pPr>
      <w:spacing w:after="0" w:line="240" w:lineRule="auto"/>
    </w:pPr>
    <w:tblPr>
      <w:tblStyleRowBandSize w:val="1"/>
      <w:tblStyleColBandSize w:val="1"/>
      <w:tblBorders>
        <w:top w:val="single" w:sz="8" w:space="0" w:color="ACBC25" w:themeColor="accent4"/>
        <w:left w:val="single" w:sz="8" w:space="0" w:color="ACBC25" w:themeColor="accent4"/>
        <w:bottom w:val="single" w:sz="8" w:space="0" w:color="ACBC25" w:themeColor="accent4"/>
        <w:right w:val="single" w:sz="8" w:space="0" w:color="ACBC25" w:themeColor="accent4"/>
        <w:insideH w:val="single" w:sz="8" w:space="0" w:color="ACBC25" w:themeColor="accent4"/>
        <w:insideV w:val="single" w:sz="8" w:space="0" w:color="ACBC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BC25" w:themeColor="accent4"/>
          <w:left w:val="single" w:sz="8" w:space="0" w:color="ACBC25" w:themeColor="accent4"/>
          <w:bottom w:val="single" w:sz="18" w:space="0" w:color="ACBC25" w:themeColor="accent4"/>
          <w:right w:val="single" w:sz="8" w:space="0" w:color="ACBC25" w:themeColor="accent4"/>
          <w:insideH w:val="nil"/>
          <w:insideV w:val="single" w:sz="8" w:space="0" w:color="ACBC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BC25" w:themeColor="accent4"/>
          <w:left w:val="single" w:sz="8" w:space="0" w:color="ACBC25" w:themeColor="accent4"/>
          <w:bottom w:val="single" w:sz="8" w:space="0" w:color="ACBC25" w:themeColor="accent4"/>
          <w:right w:val="single" w:sz="8" w:space="0" w:color="ACBC25" w:themeColor="accent4"/>
          <w:insideH w:val="nil"/>
          <w:insideV w:val="single" w:sz="8" w:space="0" w:color="ACBC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BC25" w:themeColor="accent4"/>
          <w:left w:val="single" w:sz="8" w:space="0" w:color="ACBC25" w:themeColor="accent4"/>
          <w:bottom w:val="single" w:sz="8" w:space="0" w:color="ACBC25" w:themeColor="accent4"/>
          <w:right w:val="single" w:sz="8" w:space="0" w:color="ACBC25" w:themeColor="accent4"/>
        </w:tcBorders>
      </w:tcPr>
    </w:tblStylePr>
    <w:tblStylePr w:type="band1Vert">
      <w:tblPr/>
      <w:tcPr>
        <w:tcBorders>
          <w:top w:val="single" w:sz="8" w:space="0" w:color="ACBC25" w:themeColor="accent4"/>
          <w:left w:val="single" w:sz="8" w:space="0" w:color="ACBC25" w:themeColor="accent4"/>
          <w:bottom w:val="single" w:sz="8" w:space="0" w:color="ACBC25" w:themeColor="accent4"/>
          <w:right w:val="single" w:sz="8" w:space="0" w:color="ACBC25" w:themeColor="accent4"/>
        </w:tcBorders>
        <w:shd w:val="clear" w:color="auto" w:fill="EEF3C3" w:themeFill="accent4" w:themeFillTint="3F"/>
      </w:tcPr>
    </w:tblStylePr>
    <w:tblStylePr w:type="band1Horz">
      <w:tblPr/>
      <w:tcPr>
        <w:tcBorders>
          <w:top w:val="single" w:sz="8" w:space="0" w:color="ACBC25" w:themeColor="accent4"/>
          <w:left w:val="single" w:sz="8" w:space="0" w:color="ACBC25" w:themeColor="accent4"/>
          <w:bottom w:val="single" w:sz="8" w:space="0" w:color="ACBC25" w:themeColor="accent4"/>
          <w:right w:val="single" w:sz="8" w:space="0" w:color="ACBC25" w:themeColor="accent4"/>
          <w:insideV w:val="single" w:sz="8" w:space="0" w:color="ACBC25" w:themeColor="accent4"/>
        </w:tcBorders>
        <w:shd w:val="clear" w:color="auto" w:fill="EEF3C3" w:themeFill="accent4" w:themeFillTint="3F"/>
      </w:tcPr>
    </w:tblStylePr>
    <w:tblStylePr w:type="band2Horz">
      <w:tblPr/>
      <w:tcPr>
        <w:tcBorders>
          <w:top w:val="single" w:sz="8" w:space="0" w:color="ACBC25" w:themeColor="accent4"/>
          <w:left w:val="single" w:sz="8" w:space="0" w:color="ACBC25" w:themeColor="accent4"/>
          <w:bottom w:val="single" w:sz="8" w:space="0" w:color="ACBC25" w:themeColor="accent4"/>
          <w:right w:val="single" w:sz="8" w:space="0" w:color="ACBC25" w:themeColor="accent4"/>
          <w:insideV w:val="single" w:sz="8" w:space="0" w:color="ACBC25" w:themeColor="accent4"/>
        </w:tcBorders>
      </w:tcPr>
    </w:tblStylePr>
  </w:style>
  <w:style w:type="table" w:styleId="Grilleclaire-Accent5">
    <w:name w:val="Light Grid Accent 5"/>
    <w:basedOn w:val="TableauNormal"/>
    <w:uiPriority w:val="62"/>
    <w:semiHidden/>
    <w:unhideWhenUsed/>
    <w:rsid w:val="00B57FC7"/>
    <w:pPr>
      <w:spacing w:after="0" w:line="240" w:lineRule="auto"/>
    </w:pPr>
    <w:tblPr>
      <w:tblStyleRowBandSize w:val="1"/>
      <w:tblStyleColBandSize w:val="1"/>
      <w:tblBorders>
        <w:top w:val="single" w:sz="8" w:space="0" w:color="7B4A0F" w:themeColor="accent5"/>
        <w:left w:val="single" w:sz="8" w:space="0" w:color="7B4A0F" w:themeColor="accent5"/>
        <w:bottom w:val="single" w:sz="8" w:space="0" w:color="7B4A0F" w:themeColor="accent5"/>
        <w:right w:val="single" w:sz="8" w:space="0" w:color="7B4A0F" w:themeColor="accent5"/>
        <w:insideH w:val="single" w:sz="8" w:space="0" w:color="7B4A0F" w:themeColor="accent5"/>
        <w:insideV w:val="single" w:sz="8" w:space="0" w:color="7B4A0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4A0F" w:themeColor="accent5"/>
          <w:left w:val="single" w:sz="8" w:space="0" w:color="7B4A0F" w:themeColor="accent5"/>
          <w:bottom w:val="single" w:sz="18" w:space="0" w:color="7B4A0F" w:themeColor="accent5"/>
          <w:right w:val="single" w:sz="8" w:space="0" w:color="7B4A0F" w:themeColor="accent5"/>
          <w:insideH w:val="nil"/>
          <w:insideV w:val="single" w:sz="8" w:space="0" w:color="7B4A0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4A0F" w:themeColor="accent5"/>
          <w:left w:val="single" w:sz="8" w:space="0" w:color="7B4A0F" w:themeColor="accent5"/>
          <w:bottom w:val="single" w:sz="8" w:space="0" w:color="7B4A0F" w:themeColor="accent5"/>
          <w:right w:val="single" w:sz="8" w:space="0" w:color="7B4A0F" w:themeColor="accent5"/>
          <w:insideH w:val="nil"/>
          <w:insideV w:val="single" w:sz="8" w:space="0" w:color="7B4A0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4A0F" w:themeColor="accent5"/>
          <w:left w:val="single" w:sz="8" w:space="0" w:color="7B4A0F" w:themeColor="accent5"/>
          <w:bottom w:val="single" w:sz="8" w:space="0" w:color="7B4A0F" w:themeColor="accent5"/>
          <w:right w:val="single" w:sz="8" w:space="0" w:color="7B4A0F" w:themeColor="accent5"/>
        </w:tcBorders>
      </w:tcPr>
    </w:tblStylePr>
    <w:tblStylePr w:type="band1Vert">
      <w:tblPr/>
      <w:tcPr>
        <w:tcBorders>
          <w:top w:val="single" w:sz="8" w:space="0" w:color="7B4A0F" w:themeColor="accent5"/>
          <w:left w:val="single" w:sz="8" w:space="0" w:color="7B4A0F" w:themeColor="accent5"/>
          <w:bottom w:val="single" w:sz="8" w:space="0" w:color="7B4A0F" w:themeColor="accent5"/>
          <w:right w:val="single" w:sz="8" w:space="0" w:color="7B4A0F" w:themeColor="accent5"/>
        </w:tcBorders>
        <w:shd w:val="clear" w:color="auto" w:fill="F5D4AD" w:themeFill="accent5" w:themeFillTint="3F"/>
      </w:tcPr>
    </w:tblStylePr>
    <w:tblStylePr w:type="band1Horz">
      <w:tblPr/>
      <w:tcPr>
        <w:tcBorders>
          <w:top w:val="single" w:sz="8" w:space="0" w:color="7B4A0F" w:themeColor="accent5"/>
          <w:left w:val="single" w:sz="8" w:space="0" w:color="7B4A0F" w:themeColor="accent5"/>
          <w:bottom w:val="single" w:sz="8" w:space="0" w:color="7B4A0F" w:themeColor="accent5"/>
          <w:right w:val="single" w:sz="8" w:space="0" w:color="7B4A0F" w:themeColor="accent5"/>
          <w:insideV w:val="single" w:sz="8" w:space="0" w:color="7B4A0F" w:themeColor="accent5"/>
        </w:tcBorders>
        <w:shd w:val="clear" w:color="auto" w:fill="F5D4AD" w:themeFill="accent5" w:themeFillTint="3F"/>
      </w:tcPr>
    </w:tblStylePr>
    <w:tblStylePr w:type="band2Horz">
      <w:tblPr/>
      <w:tcPr>
        <w:tcBorders>
          <w:top w:val="single" w:sz="8" w:space="0" w:color="7B4A0F" w:themeColor="accent5"/>
          <w:left w:val="single" w:sz="8" w:space="0" w:color="7B4A0F" w:themeColor="accent5"/>
          <w:bottom w:val="single" w:sz="8" w:space="0" w:color="7B4A0F" w:themeColor="accent5"/>
          <w:right w:val="single" w:sz="8" w:space="0" w:color="7B4A0F" w:themeColor="accent5"/>
          <w:insideV w:val="single" w:sz="8" w:space="0" w:color="7B4A0F" w:themeColor="accent5"/>
        </w:tcBorders>
      </w:tcPr>
    </w:tblStylePr>
  </w:style>
  <w:style w:type="table" w:styleId="Grilleclaire-Accent6">
    <w:name w:val="Light Grid Accent 6"/>
    <w:basedOn w:val="TableauNormal"/>
    <w:uiPriority w:val="62"/>
    <w:semiHidden/>
    <w:unhideWhenUsed/>
    <w:rsid w:val="00B57FC7"/>
    <w:pPr>
      <w:spacing w:after="0" w:line="240" w:lineRule="auto"/>
    </w:pPr>
    <w:tblPr>
      <w:tblStyleRowBandSize w:val="1"/>
      <w:tblStyleColBandSize w:val="1"/>
      <w:tblBorders>
        <w:top w:val="single" w:sz="8" w:space="0" w:color="801F2B" w:themeColor="accent6"/>
        <w:left w:val="single" w:sz="8" w:space="0" w:color="801F2B" w:themeColor="accent6"/>
        <w:bottom w:val="single" w:sz="8" w:space="0" w:color="801F2B" w:themeColor="accent6"/>
        <w:right w:val="single" w:sz="8" w:space="0" w:color="801F2B" w:themeColor="accent6"/>
        <w:insideH w:val="single" w:sz="8" w:space="0" w:color="801F2B" w:themeColor="accent6"/>
        <w:insideV w:val="single" w:sz="8" w:space="0" w:color="801F2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1F2B" w:themeColor="accent6"/>
          <w:left w:val="single" w:sz="8" w:space="0" w:color="801F2B" w:themeColor="accent6"/>
          <w:bottom w:val="single" w:sz="18" w:space="0" w:color="801F2B" w:themeColor="accent6"/>
          <w:right w:val="single" w:sz="8" w:space="0" w:color="801F2B" w:themeColor="accent6"/>
          <w:insideH w:val="nil"/>
          <w:insideV w:val="single" w:sz="8" w:space="0" w:color="801F2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1F2B" w:themeColor="accent6"/>
          <w:left w:val="single" w:sz="8" w:space="0" w:color="801F2B" w:themeColor="accent6"/>
          <w:bottom w:val="single" w:sz="8" w:space="0" w:color="801F2B" w:themeColor="accent6"/>
          <w:right w:val="single" w:sz="8" w:space="0" w:color="801F2B" w:themeColor="accent6"/>
          <w:insideH w:val="nil"/>
          <w:insideV w:val="single" w:sz="8" w:space="0" w:color="801F2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1F2B" w:themeColor="accent6"/>
          <w:left w:val="single" w:sz="8" w:space="0" w:color="801F2B" w:themeColor="accent6"/>
          <w:bottom w:val="single" w:sz="8" w:space="0" w:color="801F2B" w:themeColor="accent6"/>
          <w:right w:val="single" w:sz="8" w:space="0" w:color="801F2B" w:themeColor="accent6"/>
        </w:tcBorders>
      </w:tcPr>
    </w:tblStylePr>
    <w:tblStylePr w:type="band1Vert">
      <w:tblPr/>
      <w:tcPr>
        <w:tcBorders>
          <w:top w:val="single" w:sz="8" w:space="0" w:color="801F2B" w:themeColor="accent6"/>
          <w:left w:val="single" w:sz="8" w:space="0" w:color="801F2B" w:themeColor="accent6"/>
          <w:bottom w:val="single" w:sz="8" w:space="0" w:color="801F2B" w:themeColor="accent6"/>
          <w:right w:val="single" w:sz="8" w:space="0" w:color="801F2B" w:themeColor="accent6"/>
        </w:tcBorders>
        <w:shd w:val="clear" w:color="auto" w:fill="EEB8BF" w:themeFill="accent6" w:themeFillTint="3F"/>
      </w:tcPr>
    </w:tblStylePr>
    <w:tblStylePr w:type="band1Horz">
      <w:tblPr/>
      <w:tcPr>
        <w:tcBorders>
          <w:top w:val="single" w:sz="8" w:space="0" w:color="801F2B" w:themeColor="accent6"/>
          <w:left w:val="single" w:sz="8" w:space="0" w:color="801F2B" w:themeColor="accent6"/>
          <w:bottom w:val="single" w:sz="8" w:space="0" w:color="801F2B" w:themeColor="accent6"/>
          <w:right w:val="single" w:sz="8" w:space="0" w:color="801F2B" w:themeColor="accent6"/>
          <w:insideV w:val="single" w:sz="8" w:space="0" w:color="801F2B" w:themeColor="accent6"/>
        </w:tcBorders>
        <w:shd w:val="clear" w:color="auto" w:fill="EEB8BF" w:themeFill="accent6" w:themeFillTint="3F"/>
      </w:tcPr>
    </w:tblStylePr>
    <w:tblStylePr w:type="band2Horz">
      <w:tblPr/>
      <w:tcPr>
        <w:tcBorders>
          <w:top w:val="single" w:sz="8" w:space="0" w:color="801F2B" w:themeColor="accent6"/>
          <w:left w:val="single" w:sz="8" w:space="0" w:color="801F2B" w:themeColor="accent6"/>
          <w:bottom w:val="single" w:sz="8" w:space="0" w:color="801F2B" w:themeColor="accent6"/>
          <w:right w:val="single" w:sz="8" w:space="0" w:color="801F2B" w:themeColor="accent6"/>
          <w:insideV w:val="single" w:sz="8" w:space="0" w:color="801F2B" w:themeColor="accent6"/>
        </w:tcBorders>
      </w:tcPr>
    </w:tblStylePr>
  </w:style>
  <w:style w:type="table" w:styleId="Listeclaire">
    <w:name w:val="Light List"/>
    <w:basedOn w:val="TableauNormal"/>
    <w:uiPriority w:val="61"/>
    <w:semiHidden/>
    <w:unhideWhenUsed/>
    <w:rsid w:val="00B57FC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B57FC7"/>
    <w:pPr>
      <w:spacing w:after="0" w:line="240" w:lineRule="auto"/>
    </w:pPr>
    <w:tblPr>
      <w:tblStyleRowBandSize w:val="1"/>
      <w:tblStyleColBandSize w:val="1"/>
      <w:tblBorders>
        <w:top w:val="single" w:sz="8" w:space="0" w:color="ED4136" w:themeColor="accent1"/>
        <w:left w:val="single" w:sz="8" w:space="0" w:color="ED4136" w:themeColor="accent1"/>
        <w:bottom w:val="single" w:sz="8" w:space="0" w:color="ED4136" w:themeColor="accent1"/>
        <w:right w:val="single" w:sz="8" w:space="0" w:color="ED4136" w:themeColor="accent1"/>
      </w:tblBorders>
    </w:tblPr>
    <w:tblStylePr w:type="firstRow">
      <w:pPr>
        <w:spacing w:before="0" w:after="0" w:line="240" w:lineRule="auto"/>
      </w:pPr>
      <w:rPr>
        <w:b/>
        <w:bCs/>
        <w:color w:val="FFFFFF" w:themeColor="background1"/>
      </w:rPr>
      <w:tblPr/>
      <w:tcPr>
        <w:shd w:val="clear" w:color="auto" w:fill="ED4136" w:themeFill="accent1"/>
      </w:tcPr>
    </w:tblStylePr>
    <w:tblStylePr w:type="lastRow">
      <w:pPr>
        <w:spacing w:before="0" w:after="0" w:line="240" w:lineRule="auto"/>
      </w:pPr>
      <w:rPr>
        <w:b/>
        <w:bCs/>
      </w:rPr>
      <w:tblPr/>
      <w:tcPr>
        <w:tcBorders>
          <w:top w:val="double" w:sz="6" w:space="0" w:color="ED4136" w:themeColor="accent1"/>
          <w:left w:val="single" w:sz="8" w:space="0" w:color="ED4136" w:themeColor="accent1"/>
          <w:bottom w:val="single" w:sz="8" w:space="0" w:color="ED4136" w:themeColor="accent1"/>
          <w:right w:val="single" w:sz="8" w:space="0" w:color="ED4136" w:themeColor="accent1"/>
        </w:tcBorders>
      </w:tcPr>
    </w:tblStylePr>
    <w:tblStylePr w:type="firstCol">
      <w:rPr>
        <w:b/>
        <w:bCs/>
      </w:rPr>
    </w:tblStylePr>
    <w:tblStylePr w:type="lastCol">
      <w:rPr>
        <w:b/>
        <w:bCs/>
      </w:rPr>
    </w:tblStylePr>
    <w:tblStylePr w:type="band1Vert">
      <w:tblPr/>
      <w:tcPr>
        <w:tcBorders>
          <w:top w:val="single" w:sz="8" w:space="0" w:color="ED4136" w:themeColor="accent1"/>
          <w:left w:val="single" w:sz="8" w:space="0" w:color="ED4136" w:themeColor="accent1"/>
          <w:bottom w:val="single" w:sz="8" w:space="0" w:color="ED4136" w:themeColor="accent1"/>
          <w:right w:val="single" w:sz="8" w:space="0" w:color="ED4136" w:themeColor="accent1"/>
        </w:tcBorders>
      </w:tcPr>
    </w:tblStylePr>
    <w:tblStylePr w:type="band1Horz">
      <w:tblPr/>
      <w:tcPr>
        <w:tcBorders>
          <w:top w:val="single" w:sz="8" w:space="0" w:color="ED4136" w:themeColor="accent1"/>
          <w:left w:val="single" w:sz="8" w:space="0" w:color="ED4136" w:themeColor="accent1"/>
          <w:bottom w:val="single" w:sz="8" w:space="0" w:color="ED4136" w:themeColor="accent1"/>
          <w:right w:val="single" w:sz="8" w:space="0" w:color="ED4136" w:themeColor="accent1"/>
        </w:tcBorders>
      </w:tcPr>
    </w:tblStylePr>
  </w:style>
  <w:style w:type="table" w:styleId="Listeclaire-Accent2">
    <w:name w:val="Light List Accent 2"/>
    <w:basedOn w:val="TableauNormal"/>
    <w:uiPriority w:val="61"/>
    <w:semiHidden/>
    <w:unhideWhenUsed/>
    <w:rsid w:val="00B57FC7"/>
    <w:pPr>
      <w:spacing w:after="0" w:line="240" w:lineRule="auto"/>
    </w:pPr>
    <w:tblPr>
      <w:tblStyleRowBandSize w:val="1"/>
      <w:tblStyleColBandSize w:val="1"/>
      <w:tblBorders>
        <w:top w:val="single" w:sz="8" w:space="0" w:color="F5A219" w:themeColor="accent2"/>
        <w:left w:val="single" w:sz="8" w:space="0" w:color="F5A219" w:themeColor="accent2"/>
        <w:bottom w:val="single" w:sz="8" w:space="0" w:color="F5A219" w:themeColor="accent2"/>
        <w:right w:val="single" w:sz="8" w:space="0" w:color="F5A219" w:themeColor="accent2"/>
      </w:tblBorders>
    </w:tblPr>
    <w:tblStylePr w:type="firstRow">
      <w:pPr>
        <w:spacing w:before="0" w:after="0" w:line="240" w:lineRule="auto"/>
      </w:pPr>
      <w:rPr>
        <w:b/>
        <w:bCs/>
        <w:color w:val="FFFFFF" w:themeColor="background1"/>
      </w:rPr>
      <w:tblPr/>
      <w:tcPr>
        <w:shd w:val="clear" w:color="auto" w:fill="F5A219" w:themeFill="accent2"/>
      </w:tcPr>
    </w:tblStylePr>
    <w:tblStylePr w:type="lastRow">
      <w:pPr>
        <w:spacing w:before="0" w:after="0" w:line="240" w:lineRule="auto"/>
      </w:pPr>
      <w:rPr>
        <w:b/>
        <w:bCs/>
      </w:rPr>
      <w:tblPr/>
      <w:tcPr>
        <w:tcBorders>
          <w:top w:val="double" w:sz="6" w:space="0" w:color="F5A219" w:themeColor="accent2"/>
          <w:left w:val="single" w:sz="8" w:space="0" w:color="F5A219" w:themeColor="accent2"/>
          <w:bottom w:val="single" w:sz="8" w:space="0" w:color="F5A219" w:themeColor="accent2"/>
          <w:right w:val="single" w:sz="8" w:space="0" w:color="F5A219" w:themeColor="accent2"/>
        </w:tcBorders>
      </w:tcPr>
    </w:tblStylePr>
    <w:tblStylePr w:type="firstCol">
      <w:rPr>
        <w:b/>
        <w:bCs/>
      </w:rPr>
    </w:tblStylePr>
    <w:tblStylePr w:type="lastCol">
      <w:rPr>
        <w:b/>
        <w:bCs/>
      </w:rPr>
    </w:tblStylePr>
    <w:tblStylePr w:type="band1Vert">
      <w:tblPr/>
      <w:tcPr>
        <w:tcBorders>
          <w:top w:val="single" w:sz="8" w:space="0" w:color="F5A219" w:themeColor="accent2"/>
          <w:left w:val="single" w:sz="8" w:space="0" w:color="F5A219" w:themeColor="accent2"/>
          <w:bottom w:val="single" w:sz="8" w:space="0" w:color="F5A219" w:themeColor="accent2"/>
          <w:right w:val="single" w:sz="8" w:space="0" w:color="F5A219" w:themeColor="accent2"/>
        </w:tcBorders>
      </w:tcPr>
    </w:tblStylePr>
    <w:tblStylePr w:type="band1Horz">
      <w:tblPr/>
      <w:tcPr>
        <w:tcBorders>
          <w:top w:val="single" w:sz="8" w:space="0" w:color="F5A219" w:themeColor="accent2"/>
          <w:left w:val="single" w:sz="8" w:space="0" w:color="F5A219" w:themeColor="accent2"/>
          <w:bottom w:val="single" w:sz="8" w:space="0" w:color="F5A219" w:themeColor="accent2"/>
          <w:right w:val="single" w:sz="8" w:space="0" w:color="F5A219" w:themeColor="accent2"/>
        </w:tcBorders>
      </w:tcPr>
    </w:tblStylePr>
  </w:style>
  <w:style w:type="table" w:styleId="Listeclaire-Accent3">
    <w:name w:val="Light List Accent 3"/>
    <w:basedOn w:val="TableauNormal"/>
    <w:uiPriority w:val="61"/>
    <w:semiHidden/>
    <w:unhideWhenUsed/>
    <w:rsid w:val="00B57FC7"/>
    <w:pPr>
      <w:spacing w:after="0" w:line="240" w:lineRule="auto"/>
    </w:pPr>
    <w:tblPr>
      <w:tblStyleRowBandSize w:val="1"/>
      <w:tblStyleColBandSize w:val="1"/>
      <w:tblBorders>
        <w:top w:val="single" w:sz="8" w:space="0" w:color="DE5B19" w:themeColor="accent3"/>
        <w:left w:val="single" w:sz="8" w:space="0" w:color="DE5B19" w:themeColor="accent3"/>
        <w:bottom w:val="single" w:sz="8" w:space="0" w:color="DE5B19" w:themeColor="accent3"/>
        <w:right w:val="single" w:sz="8" w:space="0" w:color="DE5B19" w:themeColor="accent3"/>
      </w:tblBorders>
    </w:tblPr>
    <w:tblStylePr w:type="firstRow">
      <w:pPr>
        <w:spacing w:before="0" w:after="0" w:line="240" w:lineRule="auto"/>
      </w:pPr>
      <w:rPr>
        <w:b/>
        <w:bCs/>
        <w:color w:val="FFFFFF" w:themeColor="background1"/>
      </w:rPr>
      <w:tblPr/>
      <w:tcPr>
        <w:shd w:val="clear" w:color="auto" w:fill="DE5B19" w:themeFill="accent3"/>
      </w:tcPr>
    </w:tblStylePr>
    <w:tblStylePr w:type="lastRow">
      <w:pPr>
        <w:spacing w:before="0" w:after="0" w:line="240" w:lineRule="auto"/>
      </w:pPr>
      <w:rPr>
        <w:b/>
        <w:bCs/>
      </w:rPr>
      <w:tblPr/>
      <w:tcPr>
        <w:tcBorders>
          <w:top w:val="double" w:sz="6" w:space="0" w:color="DE5B19" w:themeColor="accent3"/>
          <w:left w:val="single" w:sz="8" w:space="0" w:color="DE5B19" w:themeColor="accent3"/>
          <w:bottom w:val="single" w:sz="8" w:space="0" w:color="DE5B19" w:themeColor="accent3"/>
          <w:right w:val="single" w:sz="8" w:space="0" w:color="DE5B19" w:themeColor="accent3"/>
        </w:tcBorders>
      </w:tcPr>
    </w:tblStylePr>
    <w:tblStylePr w:type="firstCol">
      <w:rPr>
        <w:b/>
        <w:bCs/>
      </w:rPr>
    </w:tblStylePr>
    <w:tblStylePr w:type="lastCol">
      <w:rPr>
        <w:b/>
        <w:bCs/>
      </w:rPr>
    </w:tblStylePr>
    <w:tblStylePr w:type="band1Vert">
      <w:tblPr/>
      <w:tcPr>
        <w:tcBorders>
          <w:top w:val="single" w:sz="8" w:space="0" w:color="DE5B19" w:themeColor="accent3"/>
          <w:left w:val="single" w:sz="8" w:space="0" w:color="DE5B19" w:themeColor="accent3"/>
          <w:bottom w:val="single" w:sz="8" w:space="0" w:color="DE5B19" w:themeColor="accent3"/>
          <w:right w:val="single" w:sz="8" w:space="0" w:color="DE5B19" w:themeColor="accent3"/>
        </w:tcBorders>
      </w:tcPr>
    </w:tblStylePr>
    <w:tblStylePr w:type="band1Horz">
      <w:tblPr/>
      <w:tcPr>
        <w:tcBorders>
          <w:top w:val="single" w:sz="8" w:space="0" w:color="DE5B19" w:themeColor="accent3"/>
          <w:left w:val="single" w:sz="8" w:space="0" w:color="DE5B19" w:themeColor="accent3"/>
          <w:bottom w:val="single" w:sz="8" w:space="0" w:color="DE5B19" w:themeColor="accent3"/>
          <w:right w:val="single" w:sz="8" w:space="0" w:color="DE5B19" w:themeColor="accent3"/>
        </w:tcBorders>
      </w:tcPr>
    </w:tblStylePr>
  </w:style>
  <w:style w:type="table" w:styleId="Listeclaire-Accent4">
    <w:name w:val="Light List Accent 4"/>
    <w:basedOn w:val="TableauNormal"/>
    <w:uiPriority w:val="61"/>
    <w:semiHidden/>
    <w:unhideWhenUsed/>
    <w:rsid w:val="00B57FC7"/>
    <w:pPr>
      <w:spacing w:after="0" w:line="240" w:lineRule="auto"/>
    </w:pPr>
    <w:tblPr>
      <w:tblStyleRowBandSize w:val="1"/>
      <w:tblStyleColBandSize w:val="1"/>
      <w:tblBorders>
        <w:top w:val="single" w:sz="8" w:space="0" w:color="ACBC25" w:themeColor="accent4"/>
        <w:left w:val="single" w:sz="8" w:space="0" w:color="ACBC25" w:themeColor="accent4"/>
        <w:bottom w:val="single" w:sz="8" w:space="0" w:color="ACBC25" w:themeColor="accent4"/>
        <w:right w:val="single" w:sz="8" w:space="0" w:color="ACBC25" w:themeColor="accent4"/>
      </w:tblBorders>
    </w:tblPr>
    <w:tblStylePr w:type="firstRow">
      <w:pPr>
        <w:spacing w:before="0" w:after="0" w:line="240" w:lineRule="auto"/>
      </w:pPr>
      <w:rPr>
        <w:b/>
        <w:bCs/>
        <w:color w:val="FFFFFF" w:themeColor="background1"/>
      </w:rPr>
      <w:tblPr/>
      <w:tcPr>
        <w:shd w:val="clear" w:color="auto" w:fill="ACBC25" w:themeFill="accent4"/>
      </w:tcPr>
    </w:tblStylePr>
    <w:tblStylePr w:type="lastRow">
      <w:pPr>
        <w:spacing w:before="0" w:after="0" w:line="240" w:lineRule="auto"/>
      </w:pPr>
      <w:rPr>
        <w:b/>
        <w:bCs/>
      </w:rPr>
      <w:tblPr/>
      <w:tcPr>
        <w:tcBorders>
          <w:top w:val="double" w:sz="6" w:space="0" w:color="ACBC25" w:themeColor="accent4"/>
          <w:left w:val="single" w:sz="8" w:space="0" w:color="ACBC25" w:themeColor="accent4"/>
          <w:bottom w:val="single" w:sz="8" w:space="0" w:color="ACBC25" w:themeColor="accent4"/>
          <w:right w:val="single" w:sz="8" w:space="0" w:color="ACBC25" w:themeColor="accent4"/>
        </w:tcBorders>
      </w:tcPr>
    </w:tblStylePr>
    <w:tblStylePr w:type="firstCol">
      <w:rPr>
        <w:b/>
        <w:bCs/>
      </w:rPr>
    </w:tblStylePr>
    <w:tblStylePr w:type="lastCol">
      <w:rPr>
        <w:b/>
        <w:bCs/>
      </w:rPr>
    </w:tblStylePr>
    <w:tblStylePr w:type="band1Vert">
      <w:tblPr/>
      <w:tcPr>
        <w:tcBorders>
          <w:top w:val="single" w:sz="8" w:space="0" w:color="ACBC25" w:themeColor="accent4"/>
          <w:left w:val="single" w:sz="8" w:space="0" w:color="ACBC25" w:themeColor="accent4"/>
          <w:bottom w:val="single" w:sz="8" w:space="0" w:color="ACBC25" w:themeColor="accent4"/>
          <w:right w:val="single" w:sz="8" w:space="0" w:color="ACBC25" w:themeColor="accent4"/>
        </w:tcBorders>
      </w:tcPr>
    </w:tblStylePr>
    <w:tblStylePr w:type="band1Horz">
      <w:tblPr/>
      <w:tcPr>
        <w:tcBorders>
          <w:top w:val="single" w:sz="8" w:space="0" w:color="ACBC25" w:themeColor="accent4"/>
          <w:left w:val="single" w:sz="8" w:space="0" w:color="ACBC25" w:themeColor="accent4"/>
          <w:bottom w:val="single" w:sz="8" w:space="0" w:color="ACBC25" w:themeColor="accent4"/>
          <w:right w:val="single" w:sz="8" w:space="0" w:color="ACBC25" w:themeColor="accent4"/>
        </w:tcBorders>
      </w:tcPr>
    </w:tblStylePr>
  </w:style>
  <w:style w:type="table" w:styleId="Listeclaire-Accent5">
    <w:name w:val="Light List Accent 5"/>
    <w:basedOn w:val="TableauNormal"/>
    <w:uiPriority w:val="61"/>
    <w:semiHidden/>
    <w:unhideWhenUsed/>
    <w:rsid w:val="00B57FC7"/>
    <w:pPr>
      <w:spacing w:after="0" w:line="240" w:lineRule="auto"/>
    </w:pPr>
    <w:tblPr>
      <w:tblStyleRowBandSize w:val="1"/>
      <w:tblStyleColBandSize w:val="1"/>
      <w:tblBorders>
        <w:top w:val="single" w:sz="8" w:space="0" w:color="7B4A0F" w:themeColor="accent5"/>
        <w:left w:val="single" w:sz="8" w:space="0" w:color="7B4A0F" w:themeColor="accent5"/>
        <w:bottom w:val="single" w:sz="8" w:space="0" w:color="7B4A0F" w:themeColor="accent5"/>
        <w:right w:val="single" w:sz="8" w:space="0" w:color="7B4A0F" w:themeColor="accent5"/>
      </w:tblBorders>
    </w:tblPr>
    <w:tblStylePr w:type="firstRow">
      <w:pPr>
        <w:spacing w:before="0" w:after="0" w:line="240" w:lineRule="auto"/>
      </w:pPr>
      <w:rPr>
        <w:b/>
        <w:bCs/>
        <w:color w:val="FFFFFF" w:themeColor="background1"/>
      </w:rPr>
      <w:tblPr/>
      <w:tcPr>
        <w:shd w:val="clear" w:color="auto" w:fill="7B4A0F" w:themeFill="accent5"/>
      </w:tcPr>
    </w:tblStylePr>
    <w:tblStylePr w:type="lastRow">
      <w:pPr>
        <w:spacing w:before="0" w:after="0" w:line="240" w:lineRule="auto"/>
      </w:pPr>
      <w:rPr>
        <w:b/>
        <w:bCs/>
      </w:rPr>
      <w:tblPr/>
      <w:tcPr>
        <w:tcBorders>
          <w:top w:val="double" w:sz="6" w:space="0" w:color="7B4A0F" w:themeColor="accent5"/>
          <w:left w:val="single" w:sz="8" w:space="0" w:color="7B4A0F" w:themeColor="accent5"/>
          <w:bottom w:val="single" w:sz="8" w:space="0" w:color="7B4A0F" w:themeColor="accent5"/>
          <w:right w:val="single" w:sz="8" w:space="0" w:color="7B4A0F" w:themeColor="accent5"/>
        </w:tcBorders>
      </w:tcPr>
    </w:tblStylePr>
    <w:tblStylePr w:type="firstCol">
      <w:rPr>
        <w:b/>
        <w:bCs/>
      </w:rPr>
    </w:tblStylePr>
    <w:tblStylePr w:type="lastCol">
      <w:rPr>
        <w:b/>
        <w:bCs/>
      </w:rPr>
    </w:tblStylePr>
    <w:tblStylePr w:type="band1Vert">
      <w:tblPr/>
      <w:tcPr>
        <w:tcBorders>
          <w:top w:val="single" w:sz="8" w:space="0" w:color="7B4A0F" w:themeColor="accent5"/>
          <w:left w:val="single" w:sz="8" w:space="0" w:color="7B4A0F" w:themeColor="accent5"/>
          <w:bottom w:val="single" w:sz="8" w:space="0" w:color="7B4A0F" w:themeColor="accent5"/>
          <w:right w:val="single" w:sz="8" w:space="0" w:color="7B4A0F" w:themeColor="accent5"/>
        </w:tcBorders>
      </w:tcPr>
    </w:tblStylePr>
    <w:tblStylePr w:type="band1Horz">
      <w:tblPr/>
      <w:tcPr>
        <w:tcBorders>
          <w:top w:val="single" w:sz="8" w:space="0" w:color="7B4A0F" w:themeColor="accent5"/>
          <w:left w:val="single" w:sz="8" w:space="0" w:color="7B4A0F" w:themeColor="accent5"/>
          <w:bottom w:val="single" w:sz="8" w:space="0" w:color="7B4A0F" w:themeColor="accent5"/>
          <w:right w:val="single" w:sz="8" w:space="0" w:color="7B4A0F" w:themeColor="accent5"/>
        </w:tcBorders>
      </w:tcPr>
    </w:tblStylePr>
  </w:style>
  <w:style w:type="table" w:styleId="Listeclaire-Accent6">
    <w:name w:val="Light List Accent 6"/>
    <w:basedOn w:val="TableauNormal"/>
    <w:uiPriority w:val="61"/>
    <w:semiHidden/>
    <w:unhideWhenUsed/>
    <w:rsid w:val="00B57FC7"/>
    <w:pPr>
      <w:spacing w:after="0" w:line="240" w:lineRule="auto"/>
    </w:pPr>
    <w:tblPr>
      <w:tblStyleRowBandSize w:val="1"/>
      <w:tblStyleColBandSize w:val="1"/>
      <w:tblBorders>
        <w:top w:val="single" w:sz="8" w:space="0" w:color="801F2B" w:themeColor="accent6"/>
        <w:left w:val="single" w:sz="8" w:space="0" w:color="801F2B" w:themeColor="accent6"/>
        <w:bottom w:val="single" w:sz="8" w:space="0" w:color="801F2B" w:themeColor="accent6"/>
        <w:right w:val="single" w:sz="8" w:space="0" w:color="801F2B" w:themeColor="accent6"/>
      </w:tblBorders>
    </w:tblPr>
    <w:tblStylePr w:type="firstRow">
      <w:pPr>
        <w:spacing w:before="0" w:after="0" w:line="240" w:lineRule="auto"/>
      </w:pPr>
      <w:rPr>
        <w:b/>
        <w:bCs/>
        <w:color w:val="FFFFFF" w:themeColor="background1"/>
      </w:rPr>
      <w:tblPr/>
      <w:tcPr>
        <w:shd w:val="clear" w:color="auto" w:fill="801F2B" w:themeFill="accent6"/>
      </w:tcPr>
    </w:tblStylePr>
    <w:tblStylePr w:type="lastRow">
      <w:pPr>
        <w:spacing w:before="0" w:after="0" w:line="240" w:lineRule="auto"/>
      </w:pPr>
      <w:rPr>
        <w:b/>
        <w:bCs/>
      </w:rPr>
      <w:tblPr/>
      <w:tcPr>
        <w:tcBorders>
          <w:top w:val="double" w:sz="6" w:space="0" w:color="801F2B" w:themeColor="accent6"/>
          <w:left w:val="single" w:sz="8" w:space="0" w:color="801F2B" w:themeColor="accent6"/>
          <w:bottom w:val="single" w:sz="8" w:space="0" w:color="801F2B" w:themeColor="accent6"/>
          <w:right w:val="single" w:sz="8" w:space="0" w:color="801F2B" w:themeColor="accent6"/>
        </w:tcBorders>
      </w:tcPr>
    </w:tblStylePr>
    <w:tblStylePr w:type="firstCol">
      <w:rPr>
        <w:b/>
        <w:bCs/>
      </w:rPr>
    </w:tblStylePr>
    <w:tblStylePr w:type="lastCol">
      <w:rPr>
        <w:b/>
        <w:bCs/>
      </w:rPr>
    </w:tblStylePr>
    <w:tblStylePr w:type="band1Vert">
      <w:tblPr/>
      <w:tcPr>
        <w:tcBorders>
          <w:top w:val="single" w:sz="8" w:space="0" w:color="801F2B" w:themeColor="accent6"/>
          <w:left w:val="single" w:sz="8" w:space="0" w:color="801F2B" w:themeColor="accent6"/>
          <w:bottom w:val="single" w:sz="8" w:space="0" w:color="801F2B" w:themeColor="accent6"/>
          <w:right w:val="single" w:sz="8" w:space="0" w:color="801F2B" w:themeColor="accent6"/>
        </w:tcBorders>
      </w:tcPr>
    </w:tblStylePr>
    <w:tblStylePr w:type="band1Horz">
      <w:tblPr/>
      <w:tcPr>
        <w:tcBorders>
          <w:top w:val="single" w:sz="8" w:space="0" w:color="801F2B" w:themeColor="accent6"/>
          <w:left w:val="single" w:sz="8" w:space="0" w:color="801F2B" w:themeColor="accent6"/>
          <w:bottom w:val="single" w:sz="8" w:space="0" w:color="801F2B" w:themeColor="accent6"/>
          <w:right w:val="single" w:sz="8" w:space="0" w:color="801F2B" w:themeColor="accent6"/>
        </w:tcBorders>
      </w:tcPr>
    </w:tblStylePr>
  </w:style>
  <w:style w:type="table" w:styleId="Ombrageclair">
    <w:name w:val="Light Shading"/>
    <w:basedOn w:val="TableauNormal"/>
    <w:uiPriority w:val="60"/>
    <w:semiHidden/>
    <w:unhideWhenUsed/>
    <w:rsid w:val="00B57FC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B57FC7"/>
    <w:pPr>
      <w:spacing w:after="0" w:line="240" w:lineRule="auto"/>
    </w:pPr>
    <w:rPr>
      <w:color w:val="C71C12" w:themeColor="accent1" w:themeShade="BF"/>
    </w:rPr>
    <w:tblPr>
      <w:tblStyleRowBandSize w:val="1"/>
      <w:tblStyleColBandSize w:val="1"/>
      <w:tblBorders>
        <w:top w:val="single" w:sz="8" w:space="0" w:color="ED4136" w:themeColor="accent1"/>
        <w:bottom w:val="single" w:sz="8" w:space="0" w:color="ED4136" w:themeColor="accent1"/>
      </w:tblBorders>
    </w:tblPr>
    <w:tblStylePr w:type="firstRow">
      <w:pPr>
        <w:spacing w:before="0" w:after="0" w:line="240" w:lineRule="auto"/>
      </w:pPr>
      <w:rPr>
        <w:b/>
        <w:bCs/>
      </w:rPr>
      <w:tblPr/>
      <w:tcPr>
        <w:tcBorders>
          <w:top w:val="single" w:sz="8" w:space="0" w:color="ED4136" w:themeColor="accent1"/>
          <w:left w:val="nil"/>
          <w:bottom w:val="single" w:sz="8" w:space="0" w:color="ED4136" w:themeColor="accent1"/>
          <w:right w:val="nil"/>
          <w:insideH w:val="nil"/>
          <w:insideV w:val="nil"/>
        </w:tcBorders>
      </w:tcPr>
    </w:tblStylePr>
    <w:tblStylePr w:type="lastRow">
      <w:pPr>
        <w:spacing w:before="0" w:after="0" w:line="240" w:lineRule="auto"/>
      </w:pPr>
      <w:rPr>
        <w:b/>
        <w:bCs/>
      </w:rPr>
      <w:tblPr/>
      <w:tcPr>
        <w:tcBorders>
          <w:top w:val="single" w:sz="8" w:space="0" w:color="ED4136" w:themeColor="accent1"/>
          <w:left w:val="nil"/>
          <w:bottom w:val="single" w:sz="8" w:space="0" w:color="ED413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FCD" w:themeFill="accent1" w:themeFillTint="3F"/>
      </w:tcPr>
    </w:tblStylePr>
    <w:tblStylePr w:type="band1Horz">
      <w:tblPr/>
      <w:tcPr>
        <w:tcBorders>
          <w:left w:val="nil"/>
          <w:right w:val="nil"/>
          <w:insideH w:val="nil"/>
          <w:insideV w:val="nil"/>
        </w:tcBorders>
        <w:shd w:val="clear" w:color="auto" w:fill="FACFCD" w:themeFill="accent1" w:themeFillTint="3F"/>
      </w:tcPr>
    </w:tblStylePr>
  </w:style>
  <w:style w:type="table" w:styleId="Trameclaire-Accent2">
    <w:name w:val="Light Shading Accent 2"/>
    <w:basedOn w:val="TableauNormal"/>
    <w:uiPriority w:val="60"/>
    <w:semiHidden/>
    <w:unhideWhenUsed/>
    <w:rsid w:val="00B57FC7"/>
    <w:pPr>
      <w:spacing w:after="0" w:line="240" w:lineRule="auto"/>
    </w:pPr>
    <w:rPr>
      <w:color w:val="C17B08" w:themeColor="accent2" w:themeShade="BF"/>
    </w:rPr>
    <w:tblPr>
      <w:tblStyleRowBandSize w:val="1"/>
      <w:tblStyleColBandSize w:val="1"/>
      <w:tblBorders>
        <w:top w:val="single" w:sz="8" w:space="0" w:color="F5A219" w:themeColor="accent2"/>
        <w:bottom w:val="single" w:sz="8" w:space="0" w:color="F5A219" w:themeColor="accent2"/>
      </w:tblBorders>
    </w:tblPr>
    <w:tblStylePr w:type="firstRow">
      <w:pPr>
        <w:spacing w:before="0" w:after="0" w:line="240" w:lineRule="auto"/>
      </w:pPr>
      <w:rPr>
        <w:b/>
        <w:bCs/>
      </w:rPr>
      <w:tblPr/>
      <w:tcPr>
        <w:tcBorders>
          <w:top w:val="single" w:sz="8" w:space="0" w:color="F5A219" w:themeColor="accent2"/>
          <w:left w:val="nil"/>
          <w:bottom w:val="single" w:sz="8" w:space="0" w:color="F5A219" w:themeColor="accent2"/>
          <w:right w:val="nil"/>
          <w:insideH w:val="nil"/>
          <w:insideV w:val="nil"/>
        </w:tcBorders>
      </w:tcPr>
    </w:tblStylePr>
    <w:tblStylePr w:type="lastRow">
      <w:pPr>
        <w:spacing w:before="0" w:after="0" w:line="240" w:lineRule="auto"/>
      </w:pPr>
      <w:rPr>
        <w:b/>
        <w:bCs/>
      </w:rPr>
      <w:tblPr/>
      <w:tcPr>
        <w:tcBorders>
          <w:top w:val="single" w:sz="8" w:space="0" w:color="F5A219" w:themeColor="accent2"/>
          <w:left w:val="nil"/>
          <w:bottom w:val="single" w:sz="8" w:space="0" w:color="F5A21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7C6" w:themeFill="accent2" w:themeFillTint="3F"/>
      </w:tcPr>
    </w:tblStylePr>
    <w:tblStylePr w:type="band1Horz">
      <w:tblPr/>
      <w:tcPr>
        <w:tcBorders>
          <w:left w:val="nil"/>
          <w:right w:val="nil"/>
          <w:insideH w:val="nil"/>
          <w:insideV w:val="nil"/>
        </w:tcBorders>
        <w:shd w:val="clear" w:color="auto" w:fill="FCE7C6" w:themeFill="accent2" w:themeFillTint="3F"/>
      </w:tcPr>
    </w:tblStylePr>
  </w:style>
  <w:style w:type="table" w:styleId="Trameclaire-Accent3">
    <w:name w:val="Light Shading Accent 3"/>
    <w:basedOn w:val="TableauNormal"/>
    <w:uiPriority w:val="60"/>
    <w:semiHidden/>
    <w:unhideWhenUsed/>
    <w:rsid w:val="00B57FC7"/>
    <w:pPr>
      <w:spacing w:after="0" w:line="240" w:lineRule="auto"/>
    </w:pPr>
    <w:rPr>
      <w:color w:val="A64312" w:themeColor="accent3" w:themeShade="BF"/>
    </w:rPr>
    <w:tblPr>
      <w:tblStyleRowBandSize w:val="1"/>
      <w:tblStyleColBandSize w:val="1"/>
      <w:tblBorders>
        <w:top w:val="single" w:sz="8" w:space="0" w:color="DE5B19" w:themeColor="accent3"/>
        <w:bottom w:val="single" w:sz="8" w:space="0" w:color="DE5B19" w:themeColor="accent3"/>
      </w:tblBorders>
    </w:tblPr>
    <w:tblStylePr w:type="firstRow">
      <w:pPr>
        <w:spacing w:before="0" w:after="0" w:line="240" w:lineRule="auto"/>
      </w:pPr>
      <w:rPr>
        <w:b/>
        <w:bCs/>
      </w:rPr>
      <w:tblPr/>
      <w:tcPr>
        <w:tcBorders>
          <w:top w:val="single" w:sz="8" w:space="0" w:color="DE5B19" w:themeColor="accent3"/>
          <w:left w:val="nil"/>
          <w:bottom w:val="single" w:sz="8" w:space="0" w:color="DE5B19" w:themeColor="accent3"/>
          <w:right w:val="nil"/>
          <w:insideH w:val="nil"/>
          <w:insideV w:val="nil"/>
        </w:tcBorders>
      </w:tcPr>
    </w:tblStylePr>
    <w:tblStylePr w:type="lastRow">
      <w:pPr>
        <w:spacing w:before="0" w:after="0" w:line="240" w:lineRule="auto"/>
      </w:pPr>
      <w:rPr>
        <w:b/>
        <w:bCs/>
      </w:rPr>
      <w:tblPr/>
      <w:tcPr>
        <w:tcBorders>
          <w:top w:val="single" w:sz="8" w:space="0" w:color="DE5B19" w:themeColor="accent3"/>
          <w:left w:val="nil"/>
          <w:bottom w:val="single" w:sz="8" w:space="0" w:color="DE5B1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C4" w:themeFill="accent3" w:themeFillTint="3F"/>
      </w:tcPr>
    </w:tblStylePr>
    <w:tblStylePr w:type="band1Horz">
      <w:tblPr/>
      <w:tcPr>
        <w:tcBorders>
          <w:left w:val="nil"/>
          <w:right w:val="nil"/>
          <w:insideH w:val="nil"/>
          <w:insideV w:val="nil"/>
        </w:tcBorders>
        <w:shd w:val="clear" w:color="auto" w:fill="F8D5C4" w:themeFill="accent3" w:themeFillTint="3F"/>
      </w:tcPr>
    </w:tblStylePr>
  </w:style>
  <w:style w:type="table" w:styleId="Trameclaire-Accent4">
    <w:name w:val="Light Shading Accent 4"/>
    <w:basedOn w:val="TableauNormal"/>
    <w:uiPriority w:val="60"/>
    <w:semiHidden/>
    <w:unhideWhenUsed/>
    <w:rsid w:val="00B57FC7"/>
    <w:pPr>
      <w:spacing w:after="0" w:line="240" w:lineRule="auto"/>
    </w:pPr>
    <w:rPr>
      <w:color w:val="808C1B" w:themeColor="accent4" w:themeShade="BF"/>
    </w:rPr>
    <w:tblPr>
      <w:tblStyleRowBandSize w:val="1"/>
      <w:tblStyleColBandSize w:val="1"/>
      <w:tblBorders>
        <w:top w:val="single" w:sz="8" w:space="0" w:color="ACBC25" w:themeColor="accent4"/>
        <w:bottom w:val="single" w:sz="8" w:space="0" w:color="ACBC25" w:themeColor="accent4"/>
      </w:tblBorders>
    </w:tblPr>
    <w:tblStylePr w:type="firstRow">
      <w:pPr>
        <w:spacing w:before="0" w:after="0" w:line="240" w:lineRule="auto"/>
      </w:pPr>
      <w:rPr>
        <w:b/>
        <w:bCs/>
      </w:rPr>
      <w:tblPr/>
      <w:tcPr>
        <w:tcBorders>
          <w:top w:val="single" w:sz="8" w:space="0" w:color="ACBC25" w:themeColor="accent4"/>
          <w:left w:val="nil"/>
          <w:bottom w:val="single" w:sz="8" w:space="0" w:color="ACBC25" w:themeColor="accent4"/>
          <w:right w:val="nil"/>
          <w:insideH w:val="nil"/>
          <w:insideV w:val="nil"/>
        </w:tcBorders>
      </w:tcPr>
    </w:tblStylePr>
    <w:tblStylePr w:type="lastRow">
      <w:pPr>
        <w:spacing w:before="0" w:after="0" w:line="240" w:lineRule="auto"/>
      </w:pPr>
      <w:rPr>
        <w:b/>
        <w:bCs/>
      </w:rPr>
      <w:tblPr/>
      <w:tcPr>
        <w:tcBorders>
          <w:top w:val="single" w:sz="8" w:space="0" w:color="ACBC25" w:themeColor="accent4"/>
          <w:left w:val="nil"/>
          <w:bottom w:val="single" w:sz="8" w:space="0" w:color="ACBC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3" w:themeFill="accent4" w:themeFillTint="3F"/>
      </w:tcPr>
    </w:tblStylePr>
    <w:tblStylePr w:type="band1Horz">
      <w:tblPr/>
      <w:tcPr>
        <w:tcBorders>
          <w:left w:val="nil"/>
          <w:right w:val="nil"/>
          <w:insideH w:val="nil"/>
          <w:insideV w:val="nil"/>
        </w:tcBorders>
        <w:shd w:val="clear" w:color="auto" w:fill="EEF3C3" w:themeFill="accent4" w:themeFillTint="3F"/>
      </w:tcPr>
    </w:tblStylePr>
  </w:style>
  <w:style w:type="table" w:styleId="Trameclaire-Accent5">
    <w:name w:val="Light Shading Accent 5"/>
    <w:basedOn w:val="TableauNormal"/>
    <w:uiPriority w:val="60"/>
    <w:semiHidden/>
    <w:unhideWhenUsed/>
    <w:rsid w:val="00B57FC7"/>
    <w:pPr>
      <w:spacing w:after="0" w:line="240" w:lineRule="auto"/>
    </w:pPr>
    <w:rPr>
      <w:color w:val="5C370B" w:themeColor="accent5" w:themeShade="BF"/>
    </w:rPr>
    <w:tblPr>
      <w:tblStyleRowBandSize w:val="1"/>
      <w:tblStyleColBandSize w:val="1"/>
      <w:tblBorders>
        <w:top w:val="single" w:sz="8" w:space="0" w:color="7B4A0F" w:themeColor="accent5"/>
        <w:bottom w:val="single" w:sz="8" w:space="0" w:color="7B4A0F" w:themeColor="accent5"/>
      </w:tblBorders>
    </w:tblPr>
    <w:tblStylePr w:type="firstRow">
      <w:pPr>
        <w:spacing w:before="0" w:after="0" w:line="240" w:lineRule="auto"/>
      </w:pPr>
      <w:rPr>
        <w:b/>
        <w:bCs/>
      </w:rPr>
      <w:tblPr/>
      <w:tcPr>
        <w:tcBorders>
          <w:top w:val="single" w:sz="8" w:space="0" w:color="7B4A0F" w:themeColor="accent5"/>
          <w:left w:val="nil"/>
          <w:bottom w:val="single" w:sz="8" w:space="0" w:color="7B4A0F" w:themeColor="accent5"/>
          <w:right w:val="nil"/>
          <w:insideH w:val="nil"/>
          <w:insideV w:val="nil"/>
        </w:tcBorders>
      </w:tcPr>
    </w:tblStylePr>
    <w:tblStylePr w:type="lastRow">
      <w:pPr>
        <w:spacing w:before="0" w:after="0" w:line="240" w:lineRule="auto"/>
      </w:pPr>
      <w:rPr>
        <w:b/>
        <w:bCs/>
      </w:rPr>
      <w:tblPr/>
      <w:tcPr>
        <w:tcBorders>
          <w:top w:val="single" w:sz="8" w:space="0" w:color="7B4A0F" w:themeColor="accent5"/>
          <w:left w:val="nil"/>
          <w:bottom w:val="single" w:sz="8" w:space="0" w:color="7B4A0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4AD" w:themeFill="accent5" w:themeFillTint="3F"/>
      </w:tcPr>
    </w:tblStylePr>
    <w:tblStylePr w:type="band1Horz">
      <w:tblPr/>
      <w:tcPr>
        <w:tcBorders>
          <w:left w:val="nil"/>
          <w:right w:val="nil"/>
          <w:insideH w:val="nil"/>
          <w:insideV w:val="nil"/>
        </w:tcBorders>
        <w:shd w:val="clear" w:color="auto" w:fill="F5D4AD" w:themeFill="accent5" w:themeFillTint="3F"/>
      </w:tcPr>
    </w:tblStylePr>
  </w:style>
  <w:style w:type="table" w:styleId="Trameclaire-Accent6">
    <w:name w:val="Light Shading Accent 6"/>
    <w:basedOn w:val="TableauNormal"/>
    <w:uiPriority w:val="60"/>
    <w:semiHidden/>
    <w:unhideWhenUsed/>
    <w:rsid w:val="00B57FC7"/>
    <w:pPr>
      <w:spacing w:after="0" w:line="240" w:lineRule="auto"/>
    </w:pPr>
    <w:rPr>
      <w:color w:val="5F1720" w:themeColor="accent6" w:themeShade="BF"/>
    </w:rPr>
    <w:tblPr>
      <w:tblStyleRowBandSize w:val="1"/>
      <w:tblStyleColBandSize w:val="1"/>
      <w:tblBorders>
        <w:top w:val="single" w:sz="8" w:space="0" w:color="801F2B" w:themeColor="accent6"/>
        <w:bottom w:val="single" w:sz="8" w:space="0" w:color="801F2B" w:themeColor="accent6"/>
      </w:tblBorders>
    </w:tblPr>
    <w:tblStylePr w:type="firstRow">
      <w:pPr>
        <w:spacing w:before="0" w:after="0" w:line="240" w:lineRule="auto"/>
      </w:pPr>
      <w:rPr>
        <w:b/>
        <w:bCs/>
      </w:rPr>
      <w:tblPr/>
      <w:tcPr>
        <w:tcBorders>
          <w:top w:val="single" w:sz="8" w:space="0" w:color="801F2B" w:themeColor="accent6"/>
          <w:left w:val="nil"/>
          <w:bottom w:val="single" w:sz="8" w:space="0" w:color="801F2B" w:themeColor="accent6"/>
          <w:right w:val="nil"/>
          <w:insideH w:val="nil"/>
          <w:insideV w:val="nil"/>
        </w:tcBorders>
      </w:tcPr>
    </w:tblStylePr>
    <w:tblStylePr w:type="lastRow">
      <w:pPr>
        <w:spacing w:before="0" w:after="0" w:line="240" w:lineRule="auto"/>
      </w:pPr>
      <w:rPr>
        <w:b/>
        <w:bCs/>
      </w:rPr>
      <w:tblPr/>
      <w:tcPr>
        <w:tcBorders>
          <w:top w:val="single" w:sz="8" w:space="0" w:color="801F2B" w:themeColor="accent6"/>
          <w:left w:val="nil"/>
          <w:bottom w:val="single" w:sz="8" w:space="0" w:color="801F2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8BF" w:themeFill="accent6" w:themeFillTint="3F"/>
      </w:tcPr>
    </w:tblStylePr>
    <w:tblStylePr w:type="band1Horz">
      <w:tblPr/>
      <w:tcPr>
        <w:tcBorders>
          <w:left w:val="nil"/>
          <w:right w:val="nil"/>
          <w:insideH w:val="nil"/>
          <w:insideV w:val="nil"/>
        </w:tcBorders>
        <w:shd w:val="clear" w:color="auto" w:fill="EEB8BF" w:themeFill="accent6" w:themeFillTint="3F"/>
      </w:tcPr>
    </w:tblStylePr>
  </w:style>
  <w:style w:type="character" w:styleId="Numrodeligne">
    <w:name w:val="line number"/>
    <w:basedOn w:val="Policepardfaut"/>
    <w:uiPriority w:val="99"/>
    <w:semiHidden/>
    <w:unhideWhenUsed/>
    <w:rsid w:val="00B57FC7"/>
  </w:style>
  <w:style w:type="paragraph" w:styleId="Liste">
    <w:name w:val="List"/>
    <w:basedOn w:val="Normal"/>
    <w:uiPriority w:val="99"/>
    <w:semiHidden/>
    <w:unhideWhenUsed/>
    <w:rsid w:val="00B57FC7"/>
    <w:pPr>
      <w:ind w:left="360" w:hanging="360"/>
      <w:contextualSpacing/>
    </w:pPr>
  </w:style>
  <w:style w:type="paragraph" w:styleId="Liste2">
    <w:name w:val="List 2"/>
    <w:basedOn w:val="Normal"/>
    <w:uiPriority w:val="99"/>
    <w:semiHidden/>
    <w:unhideWhenUsed/>
    <w:rsid w:val="00B57FC7"/>
    <w:pPr>
      <w:ind w:left="720" w:hanging="360"/>
      <w:contextualSpacing/>
    </w:pPr>
  </w:style>
  <w:style w:type="paragraph" w:styleId="Liste3">
    <w:name w:val="List 3"/>
    <w:basedOn w:val="Normal"/>
    <w:uiPriority w:val="99"/>
    <w:semiHidden/>
    <w:unhideWhenUsed/>
    <w:rsid w:val="00B57FC7"/>
    <w:pPr>
      <w:ind w:left="1080" w:hanging="360"/>
      <w:contextualSpacing/>
    </w:pPr>
  </w:style>
  <w:style w:type="paragraph" w:styleId="Liste4">
    <w:name w:val="List 4"/>
    <w:basedOn w:val="Normal"/>
    <w:uiPriority w:val="99"/>
    <w:semiHidden/>
    <w:unhideWhenUsed/>
    <w:rsid w:val="00B57FC7"/>
    <w:pPr>
      <w:ind w:left="1440" w:hanging="360"/>
      <w:contextualSpacing/>
    </w:pPr>
  </w:style>
  <w:style w:type="paragraph" w:styleId="Liste5">
    <w:name w:val="List 5"/>
    <w:basedOn w:val="Normal"/>
    <w:uiPriority w:val="99"/>
    <w:semiHidden/>
    <w:unhideWhenUsed/>
    <w:rsid w:val="00B57FC7"/>
    <w:pPr>
      <w:ind w:left="1800" w:hanging="360"/>
      <w:contextualSpacing/>
    </w:pPr>
  </w:style>
  <w:style w:type="paragraph" w:styleId="Listepuces">
    <w:name w:val="List Bullet"/>
    <w:basedOn w:val="Normal"/>
    <w:uiPriority w:val="99"/>
    <w:semiHidden/>
    <w:unhideWhenUsed/>
    <w:rsid w:val="00B57FC7"/>
    <w:pPr>
      <w:numPr>
        <w:numId w:val="1"/>
      </w:numPr>
      <w:contextualSpacing/>
    </w:pPr>
  </w:style>
  <w:style w:type="paragraph" w:styleId="Listepuces2">
    <w:name w:val="List Bullet 2"/>
    <w:basedOn w:val="Normal"/>
    <w:uiPriority w:val="99"/>
    <w:semiHidden/>
    <w:unhideWhenUsed/>
    <w:rsid w:val="00B57FC7"/>
    <w:pPr>
      <w:numPr>
        <w:numId w:val="2"/>
      </w:numPr>
      <w:contextualSpacing/>
    </w:pPr>
  </w:style>
  <w:style w:type="paragraph" w:styleId="Listepuces3">
    <w:name w:val="List Bullet 3"/>
    <w:basedOn w:val="Normal"/>
    <w:uiPriority w:val="99"/>
    <w:semiHidden/>
    <w:unhideWhenUsed/>
    <w:rsid w:val="00B57FC7"/>
    <w:pPr>
      <w:numPr>
        <w:numId w:val="3"/>
      </w:numPr>
      <w:contextualSpacing/>
    </w:pPr>
  </w:style>
  <w:style w:type="paragraph" w:styleId="Listepuces4">
    <w:name w:val="List Bullet 4"/>
    <w:basedOn w:val="Normal"/>
    <w:uiPriority w:val="99"/>
    <w:semiHidden/>
    <w:unhideWhenUsed/>
    <w:rsid w:val="00B57FC7"/>
    <w:pPr>
      <w:numPr>
        <w:numId w:val="4"/>
      </w:numPr>
      <w:contextualSpacing/>
    </w:pPr>
  </w:style>
  <w:style w:type="paragraph" w:styleId="Listepuces5">
    <w:name w:val="List Bullet 5"/>
    <w:basedOn w:val="Normal"/>
    <w:uiPriority w:val="99"/>
    <w:semiHidden/>
    <w:unhideWhenUsed/>
    <w:rsid w:val="00B57FC7"/>
    <w:pPr>
      <w:numPr>
        <w:numId w:val="5"/>
      </w:numPr>
      <w:contextualSpacing/>
    </w:pPr>
  </w:style>
  <w:style w:type="paragraph" w:styleId="Listecontinue">
    <w:name w:val="List Continue"/>
    <w:basedOn w:val="Normal"/>
    <w:uiPriority w:val="99"/>
    <w:semiHidden/>
    <w:unhideWhenUsed/>
    <w:rsid w:val="00B57FC7"/>
    <w:pPr>
      <w:spacing w:after="120"/>
      <w:ind w:left="360"/>
      <w:contextualSpacing/>
    </w:pPr>
  </w:style>
  <w:style w:type="paragraph" w:styleId="Listecontinue2">
    <w:name w:val="List Continue 2"/>
    <w:basedOn w:val="Normal"/>
    <w:uiPriority w:val="99"/>
    <w:semiHidden/>
    <w:unhideWhenUsed/>
    <w:rsid w:val="00B57FC7"/>
    <w:pPr>
      <w:spacing w:after="120"/>
      <w:ind w:left="720"/>
      <w:contextualSpacing/>
    </w:pPr>
  </w:style>
  <w:style w:type="paragraph" w:styleId="Listecontinue3">
    <w:name w:val="List Continue 3"/>
    <w:basedOn w:val="Normal"/>
    <w:uiPriority w:val="99"/>
    <w:semiHidden/>
    <w:unhideWhenUsed/>
    <w:rsid w:val="00B57FC7"/>
    <w:pPr>
      <w:spacing w:after="120"/>
      <w:ind w:left="1080"/>
      <w:contextualSpacing/>
    </w:pPr>
  </w:style>
  <w:style w:type="paragraph" w:styleId="Listecontinue4">
    <w:name w:val="List Continue 4"/>
    <w:basedOn w:val="Normal"/>
    <w:uiPriority w:val="99"/>
    <w:semiHidden/>
    <w:unhideWhenUsed/>
    <w:rsid w:val="00B57FC7"/>
    <w:pPr>
      <w:spacing w:after="120"/>
      <w:ind w:left="1440"/>
      <w:contextualSpacing/>
    </w:pPr>
  </w:style>
  <w:style w:type="paragraph" w:styleId="Listecontinue5">
    <w:name w:val="List Continue 5"/>
    <w:basedOn w:val="Normal"/>
    <w:uiPriority w:val="99"/>
    <w:semiHidden/>
    <w:unhideWhenUsed/>
    <w:rsid w:val="00B57FC7"/>
    <w:pPr>
      <w:spacing w:after="120"/>
      <w:ind w:left="1800"/>
      <w:contextualSpacing/>
    </w:pPr>
  </w:style>
  <w:style w:type="paragraph" w:styleId="Listenumros">
    <w:name w:val="List Number"/>
    <w:basedOn w:val="Normal"/>
    <w:uiPriority w:val="99"/>
    <w:semiHidden/>
    <w:unhideWhenUsed/>
    <w:rsid w:val="00B57FC7"/>
    <w:pPr>
      <w:numPr>
        <w:numId w:val="6"/>
      </w:numPr>
      <w:contextualSpacing/>
    </w:pPr>
  </w:style>
  <w:style w:type="paragraph" w:styleId="Listenumros2">
    <w:name w:val="List Number 2"/>
    <w:basedOn w:val="Normal"/>
    <w:uiPriority w:val="99"/>
    <w:semiHidden/>
    <w:unhideWhenUsed/>
    <w:rsid w:val="00B57FC7"/>
    <w:pPr>
      <w:numPr>
        <w:numId w:val="7"/>
      </w:numPr>
      <w:contextualSpacing/>
    </w:pPr>
  </w:style>
  <w:style w:type="paragraph" w:styleId="Listenumros3">
    <w:name w:val="List Number 3"/>
    <w:basedOn w:val="Normal"/>
    <w:uiPriority w:val="99"/>
    <w:semiHidden/>
    <w:unhideWhenUsed/>
    <w:rsid w:val="00B57FC7"/>
    <w:pPr>
      <w:numPr>
        <w:numId w:val="8"/>
      </w:numPr>
      <w:contextualSpacing/>
    </w:pPr>
  </w:style>
  <w:style w:type="paragraph" w:styleId="Listenumros4">
    <w:name w:val="List Number 4"/>
    <w:basedOn w:val="Normal"/>
    <w:uiPriority w:val="99"/>
    <w:semiHidden/>
    <w:unhideWhenUsed/>
    <w:rsid w:val="00B57FC7"/>
    <w:pPr>
      <w:numPr>
        <w:numId w:val="9"/>
      </w:numPr>
      <w:contextualSpacing/>
    </w:pPr>
  </w:style>
  <w:style w:type="paragraph" w:styleId="Listenumros5">
    <w:name w:val="List Number 5"/>
    <w:basedOn w:val="Normal"/>
    <w:uiPriority w:val="99"/>
    <w:semiHidden/>
    <w:unhideWhenUsed/>
    <w:rsid w:val="00B57FC7"/>
    <w:pPr>
      <w:numPr>
        <w:numId w:val="10"/>
      </w:numPr>
      <w:contextualSpacing/>
    </w:pPr>
  </w:style>
  <w:style w:type="paragraph" w:styleId="Paragraphedeliste">
    <w:name w:val="List Paragraph"/>
    <w:basedOn w:val="Normal"/>
    <w:uiPriority w:val="34"/>
    <w:unhideWhenUsed/>
    <w:qFormat/>
    <w:rsid w:val="00B57FC7"/>
    <w:pPr>
      <w:ind w:left="720"/>
      <w:contextualSpacing/>
    </w:pPr>
  </w:style>
  <w:style w:type="table" w:styleId="TableauListe1Clair">
    <w:name w:val="List Table 1 Light"/>
    <w:basedOn w:val="TableauNormal"/>
    <w:uiPriority w:val="46"/>
    <w:rsid w:val="00B57FC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B57FC7"/>
    <w:pPr>
      <w:spacing w:after="0" w:line="240" w:lineRule="auto"/>
    </w:pPr>
    <w:tblPr>
      <w:tblStyleRowBandSize w:val="1"/>
      <w:tblStyleColBandSize w:val="1"/>
    </w:tblPr>
    <w:tblStylePr w:type="firstRow">
      <w:rPr>
        <w:b/>
        <w:bCs/>
      </w:rPr>
      <w:tblPr/>
      <w:tcPr>
        <w:tcBorders>
          <w:bottom w:val="single" w:sz="4" w:space="0" w:color="F48C86" w:themeColor="accent1" w:themeTint="99"/>
        </w:tcBorders>
      </w:tcPr>
    </w:tblStylePr>
    <w:tblStylePr w:type="lastRow">
      <w:rPr>
        <w:b/>
        <w:bCs/>
      </w:rPr>
      <w:tblPr/>
      <w:tcPr>
        <w:tcBorders>
          <w:top w:val="single" w:sz="4" w:space="0" w:color="F48C86" w:themeColor="accent1" w:themeTint="99"/>
        </w:tcBorders>
      </w:tcPr>
    </w:tblStylePr>
    <w:tblStylePr w:type="firstCol">
      <w:rPr>
        <w:b/>
        <w:bCs/>
      </w:rPr>
    </w:tblStylePr>
    <w:tblStylePr w:type="lastCol">
      <w:rPr>
        <w:b/>
        <w:bCs/>
      </w:rPr>
    </w:tblStylePr>
    <w:tblStylePr w:type="band1Vert">
      <w:tblPr/>
      <w:tcPr>
        <w:shd w:val="clear" w:color="auto" w:fill="FBD8D6" w:themeFill="accent1" w:themeFillTint="33"/>
      </w:tcPr>
    </w:tblStylePr>
    <w:tblStylePr w:type="band1Horz">
      <w:tblPr/>
      <w:tcPr>
        <w:shd w:val="clear" w:color="auto" w:fill="FBD8D6" w:themeFill="accent1" w:themeFillTint="33"/>
      </w:tcPr>
    </w:tblStylePr>
  </w:style>
  <w:style w:type="table" w:styleId="TableauListe1Clair-Accentuation2">
    <w:name w:val="List Table 1 Light Accent 2"/>
    <w:basedOn w:val="TableauNormal"/>
    <w:uiPriority w:val="46"/>
    <w:rsid w:val="00B57FC7"/>
    <w:pPr>
      <w:spacing w:after="0" w:line="240" w:lineRule="auto"/>
    </w:pPr>
    <w:tblPr>
      <w:tblStyleRowBandSize w:val="1"/>
      <w:tblStyleColBandSize w:val="1"/>
    </w:tblPr>
    <w:tblStylePr w:type="firstRow">
      <w:rPr>
        <w:b/>
        <w:bCs/>
      </w:rPr>
      <w:tblPr/>
      <w:tcPr>
        <w:tcBorders>
          <w:bottom w:val="single" w:sz="4" w:space="0" w:color="F9C675" w:themeColor="accent2" w:themeTint="99"/>
        </w:tcBorders>
      </w:tcPr>
    </w:tblStylePr>
    <w:tblStylePr w:type="lastRow">
      <w:rPr>
        <w:b/>
        <w:bCs/>
      </w:rPr>
      <w:tblPr/>
      <w:tcPr>
        <w:tcBorders>
          <w:top w:val="single" w:sz="4" w:space="0" w:color="F9C675" w:themeColor="accent2" w:themeTint="99"/>
        </w:tcBorders>
      </w:tcPr>
    </w:tblStylePr>
    <w:tblStylePr w:type="firstCol">
      <w:rPr>
        <w:b/>
        <w:bCs/>
      </w:rPr>
    </w:tblStylePr>
    <w:tblStylePr w:type="lastCol">
      <w:rPr>
        <w:b/>
        <w:bCs/>
      </w:rPr>
    </w:tblStylePr>
    <w:tblStylePr w:type="band1Vert">
      <w:tblPr/>
      <w:tcPr>
        <w:shd w:val="clear" w:color="auto" w:fill="FDECD1" w:themeFill="accent2" w:themeFillTint="33"/>
      </w:tcPr>
    </w:tblStylePr>
    <w:tblStylePr w:type="band1Horz">
      <w:tblPr/>
      <w:tcPr>
        <w:shd w:val="clear" w:color="auto" w:fill="FDECD1" w:themeFill="accent2" w:themeFillTint="33"/>
      </w:tcPr>
    </w:tblStylePr>
  </w:style>
  <w:style w:type="table" w:styleId="TableauListe1Clair-Accentuation3">
    <w:name w:val="List Table 1 Light Accent 3"/>
    <w:basedOn w:val="TableauNormal"/>
    <w:uiPriority w:val="46"/>
    <w:rsid w:val="00B57FC7"/>
    <w:pPr>
      <w:spacing w:after="0" w:line="240" w:lineRule="auto"/>
    </w:pPr>
    <w:tblPr>
      <w:tblStyleRowBandSize w:val="1"/>
      <w:tblStyleColBandSize w:val="1"/>
    </w:tblPr>
    <w:tblStylePr w:type="firstRow">
      <w:rPr>
        <w:b/>
        <w:bCs/>
      </w:rPr>
      <w:tblPr/>
      <w:tcPr>
        <w:tcBorders>
          <w:bottom w:val="single" w:sz="4" w:space="0" w:color="EF9B71" w:themeColor="accent3" w:themeTint="99"/>
        </w:tcBorders>
      </w:tcPr>
    </w:tblStylePr>
    <w:tblStylePr w:type="lastRow">
      <w:rPr>
        <w:b/>
        <w:bCs/>
      </w:rPr>
      <w:tblPr/>
      <w:tcPr>
        <w:tcBorders>
          <w:top w:val="single" w:sz="4" w:space="0" w:color="EF9B71" w:themeColor="accent3" w:themeTint="99"/>
        </w:tcBorders>
      </w:tcPr>
    </w:tblStylePr>
    <w:tblStylePr w:type="firstCol">
      <w:rPr>
        <w:b/>
        <w:bCs/>
      </w:rPr>
    </w:tblStylePr>
    <w:tblStylePr w:type="lastCol">
      <w:rPr>
        <w:b/>
        <w:bCs/>
      </w:rPr>
    </w:tblStylePr>
    <w:tblStylePr w:type="band1Vert">
      <w:tblPr/>
      <w:tcPr>
        <w:shd w:val="clear" w:color="auto" w:fill="F9DDCF" w:themeFill="accent3" w:themeFillTint="33"/>
      </w:tcPr>
    </w:tblStylePr>
    <w:tblStylePr w:type="band1Horz">
      <w:tblPr/>
      <w:tcPr>
        <w:shd w:val="clear" w:color="auto" w:fill="F9DDCF" w:themeFill="accent3" w:themeFillTint="33"/>
      </w:tcPr>
    </w:tblStylePr>
  </w:style>
  <w:style w:type="table" w:styleId="TableauListe1Clair-Accentuation4">
    <w:name w:val="List Table 1 Light Accent 4"/>
    <w:basedOn w:val="TableauNormal"/>
    <w:uiPriority w:val="46"/>
    <w:rsid w:val="00B57FC7"/>
    <w:pPr>
      <w:spacing w:after="0" w:line="240" w:lineRule="auto"/>
    </w:pPr>
    <w:tblPr>
      <w:tblStyleRowBandSize w:val="1"/>
      <w:tblStyleColBandSize w:val="1"/>
    </w:tblPr>
    <w:tblStylePr w:type="firstRow">
      <w:rPr>
        <w:b/>
        <w:bCs/>
      </w:rPr>
      <w:tblPr/>
      <w:tcPr>
        <w:tcBorders>
          <w:bottom w:val="single" w:sz="4" w:space="0" w:color="D6E370" w:themeColor="accent4" w:themeTint="99"/>
        </w:tcBorders>
      </w:tcPr>
    </w:tblStylePr>
    <w:tblStylePr w:type="lastRow">
      <w:rPr>
        <w:b/>
        <w:bCs/>
      </w:rPr>
      <w:tblPr/>
      <w:tcPr>
        <w:tcBorders>
          <w:top w:val="single" w:sz="4" w:space="0" w:color="D6E370" w:themeColor="accent4" w:themeTint="99"/>
        </w:tcBorders>
      </w:tcPr>
    </w:tblStylePr>
    <w:tblStylePr w:type="firstCol">
      <w:rPr>
        <w:b/>
        <w:bCs/>
      </w:rPr>
    </w:tblStylePr>
    <w:tblStylePr w:type="lastCol">
      <w:rPr>
        <w:b/>
        <w:bCs/>
      </w:rPr>
    </w:tblStylePr>
    <w:tblStylePr w:type="band1Vert">
      <w:tblPr/>
      <w:tcPr>
        <w:shd w:val="clear" w:color="auto" w:fill="F1F5CF" w:themeFill="accent4" w:themeFillTint="33"/>
      </w:tcPr>
    </w:tblStylePr>
    <w:tblStylePr w:type="band1Horz">
      <w:tblPr/>
      <w:tcPr>
        <w:shd w:val="clear" w:color="auto" w:fill="F1F5CF" w:themeFill="accent4" w:themeFillTint="33"/>
      </w:tcPr>
    </w:tblStylePr>
  </w:style>
  <w:style w:type="table" w:styleId="TableauListe1Clair-Accentuation5">
    <w:name w:val="List Table 1 Light Accent 5"/>
    <w:basedOn w:val="TableauNormal"/>
    <w:uiPriority w:val="46"/>
    <w:rsid w:val="00B57FC7"/>
    <w:pPr>
      <w:spacing w:after="0" w:line="240" w:lineRule="auto"/>
    </w:pPr>
    <w:tblPr>
      <w:tblStyleRowBandSize w:val="1"/>
      <w:tblStyleColBandSize w:val="1"/>
    </w:tblPr>
    <w:tblStylePr w:type="firstRow">
      <w:rPr>
        <w:b/>
        <w:bCs/>
      </w:rPr>
      <w:tblPr/>
      <w:tcPr>
        <w:tcBorders>
          <w:bottom w:val="single" w:sz="4" w:space="0" w:color="E69737" w:themeColor="accent5" w:themeTint="99"/>
        </w:tcBorders>
      </w:tcPr>
    </w:tblStylePr>
    <w:tblStylePr w:type="lastRow">
      <w:rPr>
        <w:b/>
        <w:bCs/>
      </w:rPr>
      <w:tblPr/>
      <w:tcPr>
        <w:tcBorders>
          <w:top w:val="single" w:sz="4" w:space="0" w:color="E69737" w:themeColor="accent5" w:themeTint="99"/>
        </w:tcBorders>
      </w:tcPr>
    </w:tblStylePr>
    <w:tblStylePr w:type="firstCol">
      <w:rPr>
        <w:b/>
        <w:bCs/>
      </w:rPr>
    </w:tblStylePr>
    <w:tblStylePr w:type="lastCol">
      <w:rPr>
        <w:b/>
        <w:bCs/>
      </w:rPr>
    </w:tblStylePr>
    <w:tblStylePr w:type="band1Vert">
      <w:tblPr/>
      <w:tcPr>
        <w:shd w:val="clear" w:color="auto" w:fill="F7DCBC" w:themeFill="accent5" w:themeFillTint="33"/>
      </w:tcPr>
    </w:tblStylePr>
    <w:tblStylePr w:type="band1Horz">
      <w:tblPr/>
      <w:tcPr>
        <w:shd w:val="clear" w:color="auto" w:fill="F7DCBC" w:themeFill="accent5" w:themeFillTint="33"/>
      </w:tcPr>
    </w:tblStylePr>
  </w:style>
  <w:style w:type="table" w:styleId="TableauListe1Clair-Accentuation6">
    <w:name w:val="List Table 1 Light Accent 6"/>
    <w:basedOn w:val="TableauNormal"/>
    <w:uiPriority w:val="46"/>
    <w:rsid w:val="00B57FC7"/>
    <w:pPr>
      <w:spacing w:after="0" w:line="240" w:lineRule="auto"/>
    </w:pPr>
    <w:tblPr>
      <w:tblStyleRowBandSize w:val="1"/>
      <w:tblStyleColBandSize w:val="1"/>
    </w:tblPr>
    <w:tblStylePr w:type="firstRow">
      <w:rPr>
        <w:b/>
        <w:bCs/>
      </w:rPr>
      <w:tblPr/>
      <w:tcPr>
        <w:tcBorders>
          <w:bottom w:val="single" w:sz="4" w:space="0" w:color="D65564" w:themeColor="accent6" w:themeTint="99"/>
        </w:tcBorders>
      </w:tcPr>
    </w:tblStylePr>
    <w:tblStylePr w:type="lastRow">
      <w:rPr>
        <w:b/>
        <w:bCs/>
      </w:rPr>
      <w:tblPr/>
      <w:tcPr>
        <w:tcBorders>
          <w:top w:val="single" w:sz="4" w:space="0" w:color="D65564" w:themeColor="accent6" w:themeTint="99"/>
        </w:tcBorders>
      </w:tcPr>
    </w:tblStylePr>
    <w:tblStylePr w:type="firstCol">
      <w:rPr>
        <w:b/>
        <w:bCs/>
      </w:rPr>
    </w:tblStylePr>
    <w:tblStylePr w:type="lastCol">
      <w:rPr>
        <w:b/>
        <w:bCs/>
      </w:rPr>
    </w:tblStylePr>
    <w:tblStylePr w:type="band1Vert">
      <w:tblPr/>
      <w:tcPr>
        <w:shd w:val="clear" w:color="auto" w:fill="F1C6CB" w:themeFill="accent6" w:themeFillTint="33"/>
      </w:tcPr>
    </w:tblStylePr>
    <w:tblStylePr w:type="band1Horz">
      <w:tblPr/>
      <w:tcPr>
        <w:shd w:val="clear" w:color="auto" w:fill="F1C6CB" w:themeFill="accent6" w:themeFillTint="33"/>
      </w:tcPr>
    </w:tblStylePr>
  </w:style>
  <w:style w:type="table" w:styleId="TableauListe2">
    <w:name w:val="List Table 2"/>
    <w:basedOn w:val="TableauNormal"/>
    <w:uiPriority w:val="47"/>
    <w:rsid w:val="00B57FC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B57FC7"/>
    <w:pPr>
      <w:spacing w:after="0" w:line="240" w:lineRule="auto"/>
    </w:pPr>
    <w:tblPr>
      <w:tblStyleRowBandSize w:val="1"/>
      <w:tblStyleColBandSize w:val="1"/>
      <w:tblBorders>
        <w:top w:val="single" w:sz="4" w:space="0" w:color="F48C86" w:themeColor="accent1" w:themeTint="99"/>
        <w:bottom w:val="single" w:sz="4" w:space="0" w:color="F48C86" w:themeColor="accent1" w:themeTint="99"/>
        <w:insideH w:val="single" w:sz="4" w:space="0" w:color="F48C8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8D6" w:themeFill="accent1" w:themeFillTint="33"/>
      </w:tcPr>
    </w:tblStylePr>
    <w:tblStylePr w:type="band1Horz">
      <w:tblPr/>
      <w:tcPr>
        <w:shd w:val="clear" w:color="auto" w:fill="FBD8D6" w:themeFill="accent1" w:themeFillTint="33"/>
      </w:tcPr>
    </w:tblStylePr>
  </w:style>
  <w:style w:type="table" w:styleId="TableauListe2-Accentuation2">
    <w:name w:val="List Table 2 Accent 2"/>
    <w:basedOn w:val="TableauNormal"/>
    <w:uiPriority w:val="47"/>
    <w:rsid w:val="00B57FC7"/>
    <w:pPr>
      <w:spacing w:after="0" w:line="240" w:lineRule="auto"/>
    </w:pPr>
    <w:tblPr>
      <w:tblStyleRowBandSize w:val="1"/>
      <w:tblStyleColBandSize w:val="1"/>
      <w:tblBorders>
        <w:top w:val="single" w:sz="4" w:space="0" w:color="F9C675" w:themeColor="accent2" w:themeTint="99"/>
        <w:bottom w:val="single" w:sz="4" w:space="0" w:color="F9C675" w:themeColor="accent2" w:themeTint="99"/>
        <w:insideH w:val="single" w:sz="4" w:space="0" w:color="F9C6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1" w:themeFill="accent2" w:themeFillTint="33"/>
      </w:tcPr>
    </w:tblStylePr>
    <w:tblStylePr w:type="band1Horz">
      <w:tblPr/>
      <w:tcPr>
        <w:shd w:val="clear" w:color="auto" w:fill="FDECD1" w:themeFill="accent2" w:themeFillTint="33"/>
      </w:tcPr>
    </w:tblStylePr>
  </w:style>
  <w:style w:type="table" w:styleId="TableauListe2-Accentuation3">
    <w:name w:val="List Table 2 Accent 3"/>
    <w:basedOn w:val="TableauNormal"/>
    <w:uiPriority w:val="47"/>
    <w:rsid w:val="00B57FC7"/>
    <w:pPr>
      <w:spacing w:after="0" w:line="240" w:lineRule="auto"/>
    </w:pPr>
    <w:tblPr>
      <w:tblStyleRowBandSize w:val="1"/>
      <w:tblStyleColBandSize w:val="1"/>
      <w:tblBorders>
        <w:top w:val="single" w:sz="4" w:space="0" w:color="EF9B71" w:themeColor="accent3" w:themeTint="99"/>
        <w:bottom w:val="single" w:sz="4" w:space="0" w:color="EF9B71" w:themeColor="accent3" w:themeTint="99"/>
        <w:insideH w:val="single" w:sz="4" w:space="0" w:color="EF9B7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CF" w:themeFill="accent3" w:themeFillTint="33"/>
      </w:tcPr>
    </w:tblStylePr>
    <w:tblStylePr w:type="band1Horz">
      <w:tblPr/>
      <w:tcPr>
        <w:shd w:val="clear" w:color="auto" w:fill="F9DDCF" w:themeFill="accent3" w:themeFillTint="33"/>
      </w:tcPr>
    </w:tblStylePr>
  </w:style>
  <w:style w:type="table" w:styleId="TableauListe2-Accentuation4">
    <w:name w:val="List Table 2 Accent 4"/>
    <w:basedOn w:val="TableauNormal"/>
    <w:uiPriority w:val="47"/>
    <w:rsid w:val="00B57FC7"/>
    <w:pPr>
      <w:spacing w:after="0" w:line="240" w:lineRule="auto"/>
    </w:pPr>
    <w:tblPr>
      <w:tblStyleRowBandSize w:val="1"/>
      <w:tblStyleColBandSize w:val="1"/>
      <w:tblBorders>
        <w:top w:val="single" w:sz="4" w:space="0" w:color="D6E370" w:themeColor="accent4" w:themeTint="99"/>
        <w:bottom w:val="single" w:sz="4" w:space="0" w:color="D6E370" w:themeColor="accent4" w:themeTint="99"/>
        <w:insideH w:val="single" w:sz="4" w:space="0" w:color="D6E37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5CF" w:themeFill="accent4" w:themeFillTint="33"/>
      </w:tcPr>
    </w:tblStylePr>
    <w:tblStylePr w:type="band1Horz">
      <w:tblPr/>
      <w:tcPr>
        <w:shd w:val="clear" w:color="auto" w:fill="F1F5CF" w:themeFill="accent4" w:themeFillTint="33"/>
      </w:tcPr>
    </w:tblStylePr>
  </w:style>
  <w:style w:type="table" w:styleId="TableauListe2-Accentuation5">
    <w:name w:val="List Table 2 Accent 5"/>
    <w:basedOn w:val="TableauNormal"/>
    <w:uiPriority w:val="47"/>
    <w:rsid w:val="00B57FC7"/>
    <w:pPr>
      <w:spacing w:after="0" w:line="240" w:lineRule="auto"/>
    </w:pPr>
    <w:tblPr>
      <w:tblStyleRowBandSize w:val="1"/>
      <w:tblStyleColBandSize w:val="1"/>
      <w:tblBorders>
        <w:top w:val="single" w:sz="4" w:space="0" w:color="E69737" w:themeColor="accent5" w:themeTint="99"/>
        <w:bottom w:val="single" w:sz="4" w:space="0" w:color="E69737" w:themeColor="accent5" w:themeTint="99"/>
        <w:insideH w:val="single" w:sz="4" w:space="0" w:color="E6973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DCBC" w:themeFill="accent5" w:themeFillTint="33"/>
      </w:tcPr>
    </w:tblStylePr>
    <w:tblStylePr w:type="band1Horz">
      <w:tblPr/>
      <w:tcPr>
        <w:shd w:val="clear" w:color="auto" w:fill="F7DCBC" w:themeFill="accent5" w:themeFillTint="33"/>
      </w:tcPr>
    </w:tblStylePr>
  </w:style>
  <w:style w:type="table" w:styleId="TableauListe2-Accentuation6">
    <w:name w:val="List Table 2 Accent 6"/>
    <w:basedOn w:val="TableauNormal"/>
    <w:uiPriority w:val="47"/>
    <w:rsid w:val="00B57FC7"/>
    <w:pPr>
      <w:spacing w:after="0" w:line="240" w:lineRule="auto"/>
    </w:pPr>
    <w:tblPr>
      <w:tblStyleRowBandSize w:val="1"/>
      <w:tblStyleColBandSize w:val="1"/>
      <w:tblBorders>
        <w:top w:val="single" w:sz="4" w:space="0" w:color="D65564" w:themeColor="accent6" w:themeTint="99"/>
        <w:bottom w:val="single" w:sz="4" w:space="0" w:color="D65564" w:themeColor="accent6" w:themeTint="99"/>
        <w:insideH w:val="single" w:sz="4" w:space="0" w:color="D6556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6CB" w:themeFill="accent6" w:themeFillTint="33"/>
      </w:tcPr>
    </w:tblStylePr>
    <w:tblStylePr w:type="band1Horz">
      <w:tblPr/>
      <w:tcPr>
        <w:shd w:val="clear" w:color="auto" w:fill="F1C6CB" w:themeFill="accent6" w:themeFillTint="33"/>
      </w:tcPr>
    </w:tblStylePr>
  </w:style>
  <w:style w:type="table" w:styleId="TableauListe3">
    <w:name w:val="List Table 3"/>
    <w:basedOn w:val="TableauNormal"/>
    <w:uiPriority w:val="48"/>
    <w:rsid w:val="00B57FC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B57FC7"/>
    <w:pPr>
      <w:spacing w:after="0" w:line="240" w:lineRule="auto"/>
    </w:pPr>
    <w:tblPr>
      <w:tblStyleRowBandSize w:val="1"/>
      <w:tblStyleColBandSize w:val="1"/>
      <w:tblBorders>
        <w:top w:val="single" w:sz="4" w:space="0" w:color="ED4136" w:themeColor="accent1"/>
        <w:left w:val="single" w:sz="4" w:space="0" w:color="ED4136" w:themeColor="accent1"/>
        <w:bottom w:val="single" w:sz="4" w:space="0" w:color="ED4136" w:themeColor="accent1"/>
        <w:right w:val="single" w:sz="4" w:space="0" w:color="ED4136" w:themeColor="accent1"/>
      </w:tblBorders>
    </w:tblPr>
    <w:tblStylePr w:type="firstRow">
      <w:rPr>
        <w:b/>
        <w:bCs/>
        <w:color w:val="FFFFFF" w:themeColor="background1"/>
      </w:rPr>
      <w:tblPr/>
      <w:tcPr>
        <w:shd w:val="clear" w:color="auto" w:fill="ED4136" w:themeFill="accent1"/>
      </w:tcPr>
    </w:tblStylePr>
    <w:tblStylePr w:type="lastRow">
      <w:rPr>
        <w:b/>
        <w:bCs/>
      </w:rPr>
      <w:tblPr/>
      <w:tcPr>
        <w:tcBorders>
          <w:top w:val="double" w:sz="4" w:space="0" w:color="ED413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4136" w:themeColor="accent1"/>
          <w:right w:val="single" w:sz="4" w:space="0" w:color="ED4136" w:themeColor="accent1"/>
        </w:tcBorders>
      </w:tcPr>
    </w:tblStylePr>
    <w:tblStylePr w:type="band1Horz">
      <w:tblPr/>
      <w:tcPr>
        <w:tcBorders>
          <w:top w:val="single" w:sz="4" w:space="0" w:color="ED4136" w:themeColor="accent1"/>
          <w:bottom w:val="single" w:sz="4" w:space="0" w:color="ED413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4136" w:themeColor="accent1"/>
          <w:left w:val="nil"/>
        </w:tcBorders>
      </w:tcPr>
    </w:tblStylePr>
    <w:tblStylePr w:type="swCell">
      <w:tblPr/>
      <w:tcPr>
        <w:tcBorders>
          <w:top w:val="double" w:sz="4" w:space="0" w:color="ED4136" w:themeColor="accent1"/>
          <w:right w:val="nil"/>
        </w:tcBorders>
      </w:tcPr>
    </w:tblStylePr>
  </w:style>
  <w:style w:type="table" w:styleId="TableauListe3-Accentuation2">
    <w:name w:val="List Table 3 Accent 2"/>
    <w:basedOn w:val="TableauNormal"/>
    <w:uiPriority w:val="48"/>
    <w:rsid w:val="00B57FC7"/>
    <w:pPr>
      <w:spacing w:after="0" w:line="240" w:lineRule="auto"/>
    </w:pPr>
    <w:tblPr>
      <w:tblStyleRowBandSize w:val="1"/>
      <w:tblStyleColBandSize w:val="1"/>
      <w:tblBorders>
        <w:top w:val="single" w:sz="4" w:space="0" w:color="F5A219" w:themeColor="accent2"/>
        <w:left w:val="single" w:sz="4" w:space="0" w:color="F5A219" w:themeColor="accent2"/>
        <w:bottom w:val="single" w:sz="4" w:space="0" w:color="F5A219" w:themeColor="accent2"/>
        <w:right w:val="single" w:sz="4" w:space="0" w:color="F5A219" w:themeColor="accent2"/>
      </w:tblBorders>
    </w:tblPr>
    <w:tblStylePr w:type="firstRow">
      <w:rPr>
        <w:b/>
        <w:bCs/>
        <w:color w:val="FFFFFF" w:themeColor="background1"/>
      </w:rPr>
      <w:tblPr/>
      <w:tcPr>
        <w:shd w:val="clear" w:color="auto" w:fill="F5A219" w:themeFill="accent2"/>
      </w:tcPr>
    </w:tblStylePr>
    <w:tblStylePr w:type="lastRow">
      <w:rPr>
        <w:b/>
        <w:bCs/>
      </w:rPr>
      <w:tblPr/>
      <w:tcPr>
        <w:tcBorders>
          <w:top w:val="double" w:sz="4" w:space="0" w:color="F5A21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A219" w:themeColor="accent2"/>
          <w:right w:val="single" w:sz="4" w:space="0" w:color="F5A219" w:themeColor="accent2"/>
        </w:tcBorders>
      </w:tcPr>
    </w:tblStylePr>
    <w:tblStylePr w:type="band1Horz">
      <w:tblPr/>
      <w:tcPr>
        <w:tcBorders>
          <w:top w:val="single" w:sz="4" w:space="0" w:color="F5A219" w:themeColor="accent2"/>
          <w:bottom w:val="single" w:sz="4" w:space="0" w:color="F5A21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A219" w:themeColor="accent2"/>
          <w:left w:val="nil"/>
        </w:tcBorders>
      </w:tcPr>
    </w:tblStylePr>
    <w:tblStylePr w:type="swCell">
      <w:tblPr/>
      <w:tcPr>
        <w:tcBorders>
          <w:top w:val="double" w:sz="4" w:space="0" w:color="F5A219" w:themeColor="accent2"/>
          <w:right w:val="nil"/>
        </w:tcBorders>
      </w:tcPr>
    </w:tblStylePr>
  </w:style>
  <w:style w:type="table" w:styleId="TableauListe3-Accentuation3">
    <w:name w:val="List Table 3 Accent 3"/>
    <w:basedOn w:val="TableauNormal"/>
    <w:uiPriority w:val="48"/>
    <w:rsid w:val="00B57FC7"/>
    <w:pPr>
      <w:spacing w:after="0" w:line="240" w:lineRule="auto"/>
    </w:pPr>
    <w:tblPr>
      <w:tblStyleRowBandSize w:val="1"/>
      <w:tblStyleColBandSize w:val="1"/>
      <w:tblBorders>
        <w:top w:val="single" w:sz="4" w:space="0" w:color="DE5B19" w:themeColor="accent3"/>
        <w:left w:val="single" w:sz="4" w:space="0" w:color="DE5B19" w:themeColor="accent3"/>
        <w:bottom w:val="single" w:sz="4" w:space="0" w:color="DE5B19" w:themeColor="accent3"/>
        <w:right w:val="single" w:sz="4" w:space="0" w:color="DE5B19" w:themeColor="accent3"/>
      </w:tblBorders>
    </w:tblPr>
    <w:tblStylePr w:type="firstRow">
      <w:rPr>
        <w:b/>
        <w:bCs/>
        <w:color w:val="FFFFFF" w:themeColor="background1"/>
      </w:rPr>
      <w:tblPr/>
      <w:tcPr>
        <w:shd w:val="clear" w:color="auto" w:fill="DE5B19" w:themeFill="accent3"/>
      </w:tcPr>
    </w:tblStylePr>
    <w:tblStylePr w:type="lastRow">
      <w:rPr>
        <w:b/>
        <w:bCs/>
      </w:rPr>
      <w:tblPr/>
      <w:tcPr>
        <w:tcBorders>
          <w:top w:val="double" w:sz="4" w:space="0" w:color="DE5B1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5B19" w:themeColor="accent3"/>
          <w:right w:val="single" w:sz="4" w:space="0" w:color="DE5B19" w:themeColor="accent3"/>
        </w:tcBorders>
      </w:tcPr>
    </w:tblStylePr>
    <w:tblStylePr w:type="band1Horz">
      <w:tblPr/>
      <w:tcPr>
        <w:tcBorders>
          <w:top w:val="single" w:sz="4" w:space="0" w:color="DE5B19" w:themeColor="accent3"/>
          <w:bottom w:val="single" w:sz="4" w:space="0" w:color="DE5B1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5B19" w:themeColor="accent3"/>
          <w:left w:val="nil"/>
        </w:tcBorders>
      </w:tcPr>
    </w:tblStylePr>
    <w:tblStylePr w:type="swCell">
      <w:tblPr/>
      <w:tcPr>
        <w:tcBorders>
          <w:top w:val="double" w:sz="4" w:space="0" w:color="DE5B19" w:themeColor="accent3"/>
          <w:right w:val="nil"/>
        </w:tcBorders>
      </w:tcPr>
    </w:tblStylePr>
  </w:style>
  <w:style w:type="table" w:styleId="TableauListe3-Accentuation4">
    <w:name w:val="List Table 3 Accent 4"/>
    <w:basedOn w:val="TableauNormal"/>
    <w:uiPriority w:val="48"/>
    <w:rsid w:val="00B57FC7"/>
    <w:pPr>
      <w:spacing w:after="0" w:line="240" w:lineRule="auto"/>
    </w:pPr>
    <w:tblPr>
      <w:tblStyleRowBandSize w:val="1"/>
      <w:tblStyleColBandSize w:val="1"/>
      <w:tblBorders>
        <w:top w:val="single" w:sz="4" w:space="0" w:color="ACBC25" w:themeColor="accent4"/>
        <w:left w:val="single" w:sz="4" w:space="0" w:color="ACBC25" w:themeColor="accent4"/>
        <w:bottom w:val="single" w:sz="4" w:space="0" w:color="ACBC25" w:themeColor="accent4"/>
        <w:right w:val="single" w:sz="4" w:space="0" w:color="ACBC25" w:themeColor="accent4"/>
      </w:tblBorders>
    </w:tblPr>
    <w:tblStylePr w:type="firstRow">
      <w:rPr>
        <w:b/>
        <w:bCs/>
        <w:color w:val="FFFFFF" w:themeColor="background1"/>
      </w:rPr>
      <w:tblPr/>
      <w:tcPr>
        <w:shd w:val="clear" w:color="auto" w:fill="ACBC25" w:themeFill="accent4"/>
      </w:tcPr>
    </w:tblStylePr>
    <w:tblStylePr w:type="lastRow">
      <w:rPr>
        <w:b/>
        <w:bCs/>
      </w:rPr>
      <w:tblPr/>
      <w:tcPr>
        <w:tcBorders>
          <w:top w:val="double" w:sz="4" w:space="0" w:color="ACBC2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CBC25" w:themeColor="accent4"/>
          <w:right w:val="single" w:sz="4" w:space="0" w:color="ACBC25" w:themeColor="accent4"/>
        </w:tcBorders>
      </w:tcPr>
    </w:tblStylePr>
    <w:tblStylePr w:type="band1Horz">
      <w:tblPr/>
      <w:tcPr>
        <w:tcBorders>
          <w:top w:val="single" w:sz="4" w:space="0" w:color="ACBC25" w:themeColor="accent4"/>
          <w:bottom w:val="single" w:sz="4" w:space="0" w:color="ACBC2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CBC25" w:themeColor="accent4"/>
          <w:left w:val="nil"/>
        </w:tcBorders>
      </w:tcPr>
    </w:tblStylePr>
    <w:tblStylePr w:type="swCell">
      <w:tblPr/>
      <w:tcPr>
        <w:tcBorders>
          <w:top w:val="double" w:sz="4" w:space="0" w:color="ACBC25" w:themeColor="accent4"/>
          <w:right w:val="nil"/>
        </w:tcBorders>
      </w:tcPr>
    </w:tblStylePr>
  </w:style>
  <w:style w:type="table" w:styleId="TableauListe3-Accentuation5">
    <w:name w:val="List Table 3 Accent 5"/>
    <w:basedOn w:val="TableauNormal"/>
    <w:uiPriority w:val="48"/>
    <w:rsid w:val="00B57FC7"/>
    <w:pPr>
      <w:spacing w:after="0" w:line="240" w:lineRule="auto"/>
    </w:pPr>
    <w:tblPr>
      <w:tblStyleRowBandSize w:val="1"/>
      <w:tblStyleColBandSize w:val="1"/>
      <w:tblBorders>
        <w:top w:val="single" w:sz="4" w:space="0" w:color="7B4A0F" w:themeColor="accent5"/>
        <w:left w:val="single" w:sz="4" w:space="0" w:color="7B4A0F" w:themeColor="accent5"/>
        <w:bottom w:val="single" w:sz="4" w:space="0" w:color="7B4A0F" w:themeColor="accent5"/>
        <w:right w:val="single" w:sz="4" w:space="0" w:color="7B4A0F" w:themeColor="accent5"/>
      </w:tblBorders>
    </w:tblPr>
    <w:tblStylePr w:type="firstRow">
      <w:rPr>
        <w:b/>
        <w:bCs/>
        <w:color w:val="FFFFFF" w:themeColor="background1"/>
      </w:rPr>
      <w:tblPr/>
      <w:tcPr>
        <w:shd w:val="clear" w:color="auto" w:fill="7B4A0F" w:themeFill="accent5"/>
      </w:tcPr>
    </w:tblStylePr>
    <w:tblStylePr w:type="lastRow">
      <w:rPr>
        <w:b/>
        <w:bCs/>
      </w:rPr>
      <w:tblPr/>
      <w:tcPr>
        <w:tcBorders>
          <w:top w:val="double" w:sz="4" w:space="0" w:color="7B4A0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4A0F" w:themeColor="accent5"/>
          <w:right w:val="single" w:sz="4" w:space="0" w:color="7B4A0F" w:themeColor="accent5"/>
        </w:tcBorders>
      </w:tcPr>
    </w:tblStylePr>
    <w:tblStylePr w:type="band1Horz">
      <w:tblPr/>
      <w:tcPr>
        <w:tcBorders>
          <w:top w:val="single" w:sz="4" w:space="0" w:color="7B4A0F" w:themeColor="accent5"/>
          <w:bottom w:val="single" w:sz="4" w:space="0" w:color="7B4A0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4A0F" w:themeColor="accent5"/>
          <w:left w:val="nil"/>
        </w:tcBorders>
      </w:tcPr>
    </w:tblStylePr>
    <w:tblStylePr w:type="swCell">
      <w:tblPr/>
      <w:tcPr>
        <w:tcBorders>
          <w:top w:val="double" w:sz="4" w:space="0" w:color="7B4A0F" w:themeColor="accent5"/>
          <w:right w:val="nil"/>
        </w:tcBorders>
      </w:tcPr>
    </w:tblStylePr>
  </w:style>
  <w:style w:type="table" w:styleId="TableauListe3-Accentuation6">
    <w:name w:val="List Table 3 Accent 6"/>
    <w:basedOn w:val="TableauNormal"/>
    <w:uiPriority w:val="48"/>
    <w:rsid w:val="00B57FC7"/>
    <w:pPr>
      <w:spacing w:after="0" w:line="240" w:lineRule="auto"/>
    </w:pPr>
    <w:tblPr>
      <w:tblStyleRowBandSize w:val="1"/>
      <w:tblStyleColBandSize w:val="1"/>
      <w:tblBorders>
        <w:top w:val="single" w:sz="4" w:space="0" w:color="801F2B" w:themeColor="accent6"/>
        <w:left w:val="single" w:sz="4" w:space="0" w:color="801F2B" w:themeColor="accent6"/>
        <w:bottom w:val="single" w:sz="4" w:space="0" w:color="801F2B" w:themeColor="accent6"/>
        <w:right w:val="single" w:sz="4" w:space="0" w:color="801F2B" w:themeColor="accent6"/>
      </w:tblBorders>
    </w:tblPr>
    <w:tblStylePr w:type="firstRow">
      <w:rPr>
        <w:b/>
        <w:bCs/>
        <w:color w:val="FFFFFF" w:themeColor="background1"/>
      </w:rPr>
      <w:tblPr/>
      <w:tcPr>
        <w:shd w:val="clear" w:color="auto" w:fill="801F2B" w:themeFill="accent6"/>
      </w:tcPr>
    </w:tblStylePr>
    <w:tblStylePr w:type="lastRow">
      <w:rPr>
        <w:b/>
        <w:bCs/>
      </w:rPr>
      <w:tblPr/>
      <w:tcPr>
        <w:tcBorders>
          <w:top w:val="double" w:sz="4" w:space="0" w:color="801F2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1F2B" w:themeColor="accent6"/>
          <w:right w:val="single" w:sz="4" w:space="0" w:color="801F2B" w:themeColor="accent6"/>
        </w:tcBorders>
      </w:tcPr>
    </w:tblStylePr>
    <w:tblStylePr w:type="band1Horz">
      <w:tblPr/>
      <w:tcPr>
        <w:tcBorders>
          <w:top w:val="single" w:sz="4" w:space="0" w:color="801F2B" w:themeColor="accent6"/>
          <w:bottom w:val="single" w:sz="4" w:space="0" w:color="801F2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1F2B" w:themeColor="accent6"/>
          <w:left w:val="nil"/>
        </w:tcBorders>
      </w:tcPr>
    </w:tblStylePr>
    <w:tblStylePr w:type="swCell">
      <w:tblPr/>
      <w:tcPr>
        <w:tcBorders>
          <w:top w:val="double" w:sz="4" w:space="0" w:color="801F2B" w:themeColor="accent6"/>
          <w:right w:val="nil"/>
        </w:tcBorders>
      </w:tcPr>
    </w:tblStylePr>
  </w:style>
  <w:style w:type="table" w:styleId="TableauListe4">
    <w:name w:val="List Table 4"/>
    <w:basedOn w:val="TableauNormal"/>
    <w:uiPriority w:val="49"/>
    <w:rsid w:val="00B57FC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B57FC7"/>
    <w:pPr>
      <w:spacing w:after="0" w:line="240" w:lineRule="auto"/>
    </w:pPr>
    <w:tblPr>
      <w:tblStyleRowBandSize w:val="1"/>
      <w:tblStyleColBandSize w:val="1"/>
      <w:tblBorders>
        <w:top w:val="single" w:sz="4" w:space="0" w:color="F48C86" w:themeColor="accent1" w:themeTint="99"/>
        <w:left w:val="single" w:sz="4" w:space="0" w:color="F48C86" w:themeColor="accent1" w:themeTint="99"/>
        <w:bottom w:val="single" w:sz="4" w:space="0" w:color="F48C86" w:themeColor="accent1" w:themeTint="99"/>
        <w:right w:val="single" w:sz="4" w:space="0" w:color="F48C86" w:themeColor="accent1" w:themeTint="99"/>
        <w:insideH w:val="single" w:sz="4" w:space="0" w:color="F48C86" w:themeColor="accent1" w:themeTint="99"/>
      </w:tblBorders>
    </w:tblPr>
    <w:tblStylePr w:type="firstRow">
      <w:rPr>
        <w:b/>
        <w:bCs/>
        <w:color w:val="FFFFFF" w:themeColor="background1"/>
      </w:rPr>
      <w:tblPr/>
      <w:tcPr>
        <w:tcBorders>
          <w:top w:val="single" w:sz="4" w:space="0" w:color="ED4136" w:themeColor="accent1"/>
          <w:left w:val="single" w:sz="4" w:space="0" w:color="ED4136" w:themeColor="accent1"/>
          <w:bottom w:val="single" w:sz="4" w:space="0" w:color="ED4136" w:themeColor="accent1"/>
          <w:right w:val="single" w:sz="4" w:space="0" w:color="ED4136" w:themeColor="accent1"/>
          <w:insideH w:val="nil"/>
        </w:tcBorders>
        <w:shd w:val="clear" w:color="auto" w:fill="ED4136" w:themeFill="accent1"/>
      </w:tcPr>
    </w:tblStylePr>
    <w:tblStylePr w:type="lastRow">
      <w:rPr>
        <w:b/>
        <w:bCs/>
      </w:rPr>
      <w:tblPr/>
      <w:tcPr>
        <w:tcBorders>
          <w:top w:val="double" w:sz="4" w:space="0" w:color="F48C86" w:themeColor="accent1" w:themeTint="99"/>
        </w:tcBorders>
      </w:tcPr>
    </w:tblStylePr>
    <w:tblStylePr w:type="firstCol">
      <w:rPr>
        <w:b/>
        <w:bCs/>
      </w:rPr>
    </w:tblStylePr>
    <w:tblStylePr w:type="lastCol">
      <w:rPr>
        <w:b/>
        <w:bCs/>
      </w:rPr>
    </w:tblStylePr>
    <w:tblStylePr w:type="band1Vert">
      <w:tblPr/>
      <w:tcPr>
        <w:shd w:val="clear" w:color="auto" w:fill="FBD8D6" w:themeFill="accent1" w:themeFillTint="33"/>
      </w:tcPr>
    </w:tblStylePr>
    <w:tblStylePr w:type="band1Horz">
      <w:tblPr/>
      <w:tcPr>
        <w:shd w:val="clear" w:color="auto" w:fill="FBD8D6" w:themeFill="accent1" w:themeFillTint="33"/>
      </w:tcPr>
    </w:tblStylePr>
  </w:style>
  <w:style w:type="table" w:styleId="TableauListe4-Accentuation2">
    <w:name w:val="List Table 4 Accent 2"/>
    <w:basedOn w:val="TableauNormal"/>
    <w:uiPriority w:val="49"/>
    <w:rsid w:val="00B57FC7"/>
    <w:pPr>
      <w:spacing w:after="0" w:line="240" w:lineRule="auto"/>
    </w:pPr>
    <w:tblPr>
      <w:tblStyleRowBandSize w:val="1"/>
      <w:tblStyleColBandSize w:val="1"/>
      <w:tblBorders>
        <w:top w:val="single" w:sz="4" w:space="0" w:color="F9C675" w:themeColor="accent2" w:themeTint="99"/>
        <w:left w:val="single" w:sz="4" w:space="0" w:color="F9C675" w:themeColor="accent2" w:themeTint="99"/>
        <w:bottom w:val="single" w:sz="4" w:space="0" w:color="F9C675" w:themeColor="accent2" w:themeTint="99"/>
        <w:right w:val="single" w:sz="4" w:space="0" w:color="F9C675" w:themeColor="accent2" w:themeTint="99"/>
        <w:insideH w:val="single" w:sz="4" w:space="0" w:color="F9C675" w:themeColor="accent2" w:themeTint="99"/>
      </w:tblBorders>
    </w:tblPr>
    <w:tblStylePr w:type="firstRow">
      <w:rPr>
        <w:b/>
        <w:bCs/>
        <w:color w:val="FFFFFF" w:themeColor="background1"/>
      </w:rPr>
      <w:tblPr/>
      <w:tcPr>
        <w:tcBorders>
          <w:top w:val="single" w:sz="4" w:space="0" w:color="F5A219" w:themeColor="accent2"/>
          <w:left w:val="single" w:sz="4" w:space="0" w:color="F5A219" w:themeColor="accent2"/>
          <w:bottom w:val="single" w:sz="4" w:space="0" w:color="F5A219" w:themeColor="accent2"/>
          <w:right w:val="single" w:sz="4" w:space="0" w:color="F5A219" w:themeColor="accent2"/>
          <w:insideH w:val="nil"/>
        </w:tcBorders>
        <w:shd w:val="clear" w:color="auto" w:fill="F5A219" w:themeFill="accent2"/>
      </w:tcPr>
    </w:tblStylePr>
    <w:tblStylePr w:type="lastRow">
      <w:rPr>
        <w:b/>
        <w:bCs/>
      </w:rPr>
      <w:tblPr/>
      <w:tcPr>
        <w:tcBorders>
          <w:top w:val="double" w:sz="4" w:space="0" w:color="F9C675" w:themeColor="accent2" w:themeTint="99"/>
        </w:tcBorders>
      </w:tcPr>
    </w:tblStylePr>
    <w:tblStylePr w:type="firstCol">
      <w:rPr>
        <w:b/>
        <w:bCs/>
      </w:rPr>
    </w:tblStylePr>
    <w:tblStylePr w:type="lastCol">
      <w:rPr>
        <w:b/>
        <w:bCs/>
      </w:rPr>
    </w:tblStylePr>
    <w:tblStylePr w:type="band1Vert">
      <w:tblPr/>
      <w:tcPr>
        <w:shd w:val="clear" w:color="auto" w:fill="FDECD1" w:themeFill="accent2" w:themeFillTint="33"/>
      </w:tcPr>
    </w:tblStylePr>
    <w:tblStylePr w:type="band1Horz">
      <w:tblPr/>
      <w:tcPr>
        <w:shd w:val="clear" w:color="auto" w:fill="FDECD1" w:themeFill="accent2" w:themeFillTint="33"/>
      </w:tcPr>
    </w:tblStylePr>
  </w:style>
  <w:style w:type="table" w:styleId="TableauListe4-Accentuation3">
    <w:name w:val="List Table 4 Accent 3"/>
    <w:basedOn w:val="TableauNormal"/>
    <w:uiPriority w:val="49"/>
    <w:rsid w:val="00B57FC7"/>
    <w:pPr>
      <w:spacing w:after="0" w:line="240" w:lineRule="auto"/>
    </w:pPr>
    <w:tblPr>
      <w:tblStyleRowBandSize w:val="1"/>
      <w:tblStyleColBandSize w:val="1"/>
      <w:tblBorders>
        <w:top w:val="single" w:sz="4" w:space="0" w:color="EF9B71" w:themeColor="accent3" w:themeTint="99"/>
        <w:left w:val="single" w:sz="4" w:space="0" w:color="EF9B71" w:themeColor="accent3" w:themeTint="99"/>
        <w:bottom w:val="single" w:sz="4" w:space="0" w:color="EF9B71" w:themeColor="accent3" w:themeTint="99"/>
        <w:right w:val="single" w:sz="4" w:space="0" w:color="EF9B71" w:themeColor="accent3" w:themeTint="99"/>
        <w:insideH w:val="single" w:sz="4" w:space="0" w:color="EF9B71" w:themeColor="accent3" w:themeTint="99"/>
      </w:tblBorders>
    </w:tblPr>
    <w:tblStylePr w:type="firstRow">
      <w:rPr>
        <w:b/>
        <w:bCs/>
        <w:color w:val="FFFFFF" w:themeColor="background1"/>
      </w:rPr>
      <w:tblPr/>
      <w:tcPr>
        <w:tcBorders>
          <w:top w:val="single" w:sz="4" w:space="0" w:color="DE5B19" w:themeColor="accent3"/>
          <w:left w:val="single" w:sz="4" w:space="0" w:color="DE5B19" w:themeColor="accent3"/>
          <w:bottom w:val="single" w:sz="4" w:space="0" w:color="DE5B19" w:themeColor="accent3"/>
          <w:right w:val="single" w:sz="4" w:space="0" w:color="DE5B19" w:themeColor="accent3"/>
          <w:insideH w:val="nil"/>
        </w:tcBorders>
        <w:shd w:val="clear" w:color="auto" w:fill="DE5B19" w:themeFill="accent3"/>
      </w:tcPr>
    </w:tblStylePr>
    <w:tblStylePr w:type="lastRow">
      <w:rPr>
        <w:b/>
        <w:bCs/>
      </w:rPr>
      <w:tblPr/>
      <w:tcPr>
        <w:tcBorders>
          <w:top w:val="double" w:sz="4" w:space="0" w:color="EF9B71" w:themeColor="accent3" w:themeTint="99"/>
        </w:tcBorders>
      </w:tcPr>
    </w:tblStylePr>
    <w:tblStylePr w:type="firstCol">
      <w:rPr>
        <w:b/>
        <w:bCs/>
      </w:rPr>
    </w:tblStylePr>
    <w:tblStylePr w:type="lastCol">
      <w:rPr>
        <w:b/>
        <w:bCs/>
      </w:rPr>
    </w:tblStylePr>
    <w:tblStylePr w:type="band1Vert">
      <w:tblPr/>
      <w:tcPr>
        <w:shd w:val="clear" w:color="auto" w:fill="F9DDCF" w:themeFill="accent3" w:themeFillTint="33"/>
      </w:tcPr>
    </w:tblStylePr>
    <w:tblStylePr w:type="band1Horz">
      <w:tblPr/>
      <w:tcPr>
        <w:shd w:val="clear" w:color="auto" w:fill="F9DDCF" w:themeFill="accent3" w:themeFillTint="33"/>
      </w:tcPr>
    </w:tblStylePr>
  </w:style>
  <w:style w:type="table" w:styleId="TableauListe4-Accentuation4">
    <w:name w:val="List Table 4 Accent 4"/>
    <w:basedOn w:val="TableauNormal"/>
    <w:uiPriority w:val="49"/>
    <w:rsid w:val="00B57FC7"/>
    <w:pPr>
      <w:spacing w:after="0" w:line="240" w:lineRule="auto"/>
    </w:pPr>
    <w:tblPr>
      <w:tblStyleRowBandSize w:val="1"/>
      <w:tblStyleColBandSize w:val="1"/>
      <w:tblBorders>
        <w:top w:val="single" w:sz="4" w:space="0" w:color="D6E370" w:themeColor="accent4" w:themeTint="99"/>
        <w:left w:val="single" w:sz="4" w:space="0" w:color="D6E370" w:themeColor="accent4" w:themeTint="99"/>
        <w:bottom w:val="single" w:sz="4" w:space="0" w:color="D6E370" w:themeColor="accent4" w:themeTint="99"/>
        <w:right w:val="single" w:sz="4" w:space="0" w:color="D6E370" w:themeColor="accent4" w:themeTint="99"/>
        <w:insideH w:val="single" w:sz="4" w:space="0" w:color="D6E370" w:themeColor="accent4" w:themeTint="99"/>
      </w:tblBorders>
    </w:tblPr>
    <w:tblStylePr w:type="firstRow">
      <w:rPr>
        <w:b/>
        <w:bCs/>
        <w:color w:val="FFFFFF" w:themeColor="background1"/>
      </w:rPr>
      <w:tblPr/>
      <w:tcPr>
        <w:tcBorders>
          <w:top w:val="single" w:sz="4" w:space="0" w:color="ACBC25" w:themeColor="accent4"/>
          <w:left w:val="single" w:sz="4" w:space="0" w:color="ACBC25" w:themeColor="accent4"/>
          <w:bottom w:val="single" w:sz="4" w:space="0" w:color="ACBC25" w:themeColor="accent4"/>
          <w:right w:val="single" w:sz="4" w:space="0" w:color="ACBC25" w:themeColor="accent4"/>
          <w:insideH w:val="nil"/>
        </w:tcBorders>
        <w:shd w:val="clear" w:color="auto" w:fill="ACBC25" w:themeFill="accent4"/>
      </w:tcPr>
    </w:tblStylePr>
    <w:tblStylePr w:type="lastRow">
      <w:rPr>
        <w:b/>
        <w:bCs/>
      </w:rPr>
      <w:tblPr/>
      <w:tcPr>
        <w:tcBorders>
          <w:top w:val="double" w:sz="4" w:space="0" w:color="D6E370" w:themeColor="accent4" w:themeTint="99"/>
        </w:tcBorders>
      </w:tcPr>
    </w:tblStylePr>
    <w:tblStylePr w:type="firstCol">
      <w:rPr>
        <w:b/>
        <w:bCs/>
      </w:rPr>
    </w:tblStylePr>
    <w:tblStylePr w:type="lastCol">
      <w:rPr>
        <w:b/>
        <w:bCs/>
      </w:rPr>
    </w:tblStylePr>
    <w:tblStylePr w:type="band1Vert">
      <w:tblPr/>
      <w:tcPr>
        <w:shd w:val="clear" w:color="auto" w:fill="F1F5CF" w:themeFill="accent4" w:themeFillTint="33"/>
      </w:tcPr>
    </w:tblStylePr>
    <w:tblStylePr w:type="band1Horz">
      <w:tblPr/>
      <w:tcPr>
        <w:shd w:val="clear" w:color="auto" w:fill="F1F5CF" w:themeFill="accent4" w:themeFillTint="33"/>
      </w:tcPr>
    </w:tblStylePr>
  </w:style>
  <w:style w:type="table" w:styleId="TableauListe4-Accentuation5">
    <w:name w:val="List Table 4 Accent 5"/>
    <w:basedOn w:val="TableauNormal"/>
    <w:uiPriority w:val="49"/>
    <w:rsid w:val="00B57FC7"/>
    <w:pPr>
      <w:spacing w:after="0" w:line="240" w:lineRule="auto"/>
    </w:pPr>
    <w:tblPr>
      <w:tblStyleRowBandSize w:val="1"/>
      <w:tblStyleColBandSize w:val="1"/>
      <w:tblBorders>
        <w:top w:val="single" w:sz="4" w:space="0" w:color="E69737" w:themeColor="accent5" w:themeTint="99"/>
        <w:left w:val="single" w:sz="4" w:space="0" w:color="E69737" w:themeColor="accent5" w:themeTint="99"/>
        <w:bottom w:val="single" w:sz="4" w:space="0" w:color="E69737" w:themeColor="accent5" w:themeTint="99"/>
        <w:right w:val="single" w:sz="4" w:space="0" w:color="E69737" w:themeColor="accent5" w:themeTint="99"/>
        <w:insideH w:val="single" w:sz="4" w:space="0" w:color="E69737" w:themeColor="accent5" w:themeTint="99"/>
      </w:tblBorders>
    </w:tblPr>
    <w:tblStylePr w:type="firstRow">
      <w:rPr>
        <w:b/>
        <w:bCs/>
        <w:color w:val="FFFFFF" w:themeColor="background1"/>
      </w:rPr>
      <w:tblPr/>
      <w:tcPr>
        <w:tcBorders>
          <w:top w:val="single" w:sz="4" w:space="0" w:color="7B4A0F" w:themeColor="accent5"/>
          <w:left w:val="single" w:sz="4" w:space="0" w:color="7B4A0F" w:themeColor="accent5"/>
          <w:bottom w:val="single" w:sz="4" w:space="0" w:color="7B4A0F" w:themeColor="accent5"/>
          <w:right w:val="single" w:sz="4" w:space="0" w:color="7B4A0F" w:themeColor="accent5"/>
          <w:insideH w:val="nil"/>
        </w:tcBorders>
        <w:shd w:val="clear" w:color="auto" w:fill="7B4A0F" w:themeFill="accent5"/>
      </w:tcPr>
    </w:tblStylePr>
    <w:tblStylePr w:type="lastRow">
      <w:rPr>
        <w:b/>
        <w:bCs/>
      </w:rPr>
      <w:tblPr/>
      <w:tcPr>
        <w:tcBorders>
          <w:top w:val="double" w:sz="4" w:space="0" w:color="E69737" w:themeColor="accent5" w:themeTint="99"/>
        </w:tcBorders>
      </w:tcPr>
    </w:tblStylePr>
    <w:tblStylePr w:type="firstCol">
      <w:rPr>
        <w:b/>
        <w:bCs/>
      </w:rPr>
    </w:tblStylePr>
    <w:tblStylePr w:type="lastCol">
      <w:rPr>
        <w:b/>
        <w:bCs/>
      </w:rPr>
    </w:tblStylePr>
    <w:tblStylePr w:type="band1Vert">
      <w:tblPr/>
      <w:tcPr>
        <w:shd w:val="clear" w:color="auto" w:fill="F7DCBC" w:themeFill="accent5" w:themeFillTint="33"/>
      </w:tcPr>
    </w:tblStylePr>
    <w:tblStylePr w:type="band1Horz">
      <w:tblPr/>
      <w:tcPr>
        <w:shd w:val="clear" w:color="auto" w:fill="F7DCBC" w:themeFill="accent5" w:themeFillTint="33"/>
      </w:tcPr>
    </w:tblStylePr>
  </w:style>
  <w:style w:type="table" w:styleId="TableauListe4-Accentuation6">
    <w:name w:val="List Table 4 Accent 6"/>
    <w:basedOn w:val="TableauNormal"/>
    <w:uiPriority w:val="49"/>
    <w:rsid w:val="00B57FC7"/>
    <w:pPr>
      <w:spacing w:after="0" w:line="240" w:lineRule="auto"/>
    </w:pPr>
    <w:tblPr>
      <w:tblStyleRowBandSize w:val="1"/>
      <w:tblStyleColBandSize w:val="1"/>
      <w:tblBorders>
        <w:top w:val="single" w:sz="4" w:space="0" w:color="D65564" w:themeColor="accent6" w:themeTint="99"/>
        <w:left w:val="single" w:sz="4" w:space="0" w:color="D65564" w:themeColor="accent6" w:themeTint="99"/>
        <w:bottom w:val="single" w:sz="4" w:space="0" w:color="D65564" w:themeColor="accent6" w:themeTint="99"/>
        <w:right w:val="single" w:sz="4" w:space="0" w:color="D65564" w:themeColor="accent6" w:themeTint="99"/>
        <w:insideH w:val="single" w:sz="4" w:space="0" w:color="D65564" w:themeColor="accent6" w:themeTint="99"/>
      </w:tblBorders>
    </w:tblPr>
    <w:tblStylePr w:type="firstRow">
      <w:rPr>
        <w:b/>
        <w:bCs/>
        <w:color w:val="FFFFFF" w:themeColor="background1"/>
      </w:rPr>
      <w:tblPr/>
      <w:tcPr>
        <w:tcBorders>
          <w:top w:val="single" w:sz="4" w:space="0" w:color="801F2B" w:themeColor="accent6"/>
          <w:left w:val="single" w:sz="4" w:space="0" w:color="801F2B" w:themeColor="accent6"/>
          <w:bottom w:val="single" w:sz="4" w:space="0" w:color="801F2B" w:themeColor="accent6"/>
          <w:right w:val="single" w:sz="4" w:space="0" w:color="801F2B" w:themeColor="accent6"/>
          <w:insideH w:val="nil"/>
        </w:tcBorders>
        <w:shd w:val="clear" w:color="auto" w:fill="801F2B" w:themeFill="accent6"/>
      </w:tcPr>
    </w:tblStylePr>
    <w:tblStylePr w:type="lastRow">
      <w:rPr>
        <w:b/>
        <w:bCs/>
      </w:rPr>
      <w:tblPr/>
      <w:tcPr>
        <w:tcBorders>
          <w:top w:val="double" w:sz="4" w:space="0" w:color="D65564" w:themeColor="accent6" w:themeTint="99"/>
        </w:tcBorders>
      </w:tcPr>
    </w:tblStylePr>
    <w:tblStylePr w:type="firstCol">
      <w:rPr>
        <w:b/>
        <w:bCs/>
      </w:rPr>
    </w:tblStylePr>
    <w:tblStylePr w:type="lastCol">
      <w:rPr>
        <w:b/>
        <w:bCs/>
      </w:rPr>
    </w:tblStylePr>
    <w:tblStylePr w:type="band1Vert">
      <w:tblPr/>
      <w:tcPr>
        <w:shd w:val="clear" w:color="auto" w:fill="F1C6CB" w:themeFill="accent6" w:themeFillTint="33"/>
      </w:tcPr>
    </w:tblStylePr>
    <w:tblStylePr w:type="band1Horz">
      <w:tblPr/>
      <w:tcPr>
        <w:shd w:val="clear" w:color="auto" w:fill="F1C6CB" w:themeFill="accent6" w:themeFillTint="33"/>
      </w:tcPr>
    </w:tblStylePr>
  </w:style>
  <w:style w:type="table" w:styleId="TableauListe5Fonc">
    <w:name w:val="List Table 5 Dark"/>
    <w:basedOn w:val="TableauNormal"/>
    <w:uiPriority w:val="50"/>
    <w:rsid w:val="00B57FC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B57FC7"/>
    <w:pPr>
      <w:spacing w:after="0" w:line="240" w:lineRule="auto"/>
    </w:pPr>
    <w:rPr>
      <w:color w:val="FFFFFF" w:themeColor="background1"/>
    </w:rPr>
    <w:tblPr>
      <w:tblStyleRowBandSize w:val="1"/>
      <w:tblStyleColBandSize w:val="1"/>
      <w:tblBorders>
        <w:top w:val="single" w:sz="24" w:space="0" w:color="ED4136" w:themeColor="accent1"/>
        <w:left w:val="single" w:sz="24" w:space="0" w:color="ED4136" w:themeColor="accent1"/>
        <w:bottom w:val="single" w:sz="24" w:space="0" w:color="ED4136" w:themeColor="accent1"/>
        <w:right w:val="single" w:sz="24" w:space="0" w:color="ED4136" w:themeColor="accent1"/>
      </w:tblBorders>
    </w:tblPr>
    <w:tcPr>
      <w:shd w:val="clear" w:color="auto" w:fill="ED413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B57FC7"/>
    <w:pPr>
      <w:spacing w:after="0" w:line="240" w:lineRule="auto"/>
    </w:pPr>
    <w:rPr>
      <w:color w:val="FFFFFF" w:themeColor="background1"/>
    </w:rPr>
    <w:tblPr>
      <w:tblStyleRowBandSize w:val="1"/>
      <w:tblStyleColBandSize w:val="1"/>
      <w:tblBorders>
        <w:top w:val="single" w:sz="24" w:space="0" w:color="F5A219" w:themeColor="accent2"/>
        <w:left w:val="single" w:sz="24" w:space="0" w:color="F5A219" w:themeColor="accent2"/>
        <w:bottom w:val="single" w:sz="24" w:space="0" w:color="F5A219" w:themeColor="accent2"/>
        <w:right w:val="single" w:sz="24" w:space="0" w:color="F5A219" w:themeColor="accent2"/>
      </w:tblBorders>
    </w:tblPr>
    <w:tcPr>
      <w:shd w:val="clear" w:color="auto" w:fill="F5A21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B57FC7"/>
    <w:pPr>
      <w:spacing w:after="0" w:line="240" w:lineRule="auto"/>
    </w:pPr>
    <w:rPr>
      <w:color w:val="FFFFFF" w:themeColor="background1"/>
    </w:rPr>
    <w:tblPr>
      <w:tblStyleRowBandSize w:val="1"/>
      <w:tblStyleColBandSize w:val="1"/>
      <w:tblBorders>
        <w:top w:val="single" w:sz="24" w:space="0" w:color="DE5B19" w:themeColor="accent3"/>
        <w:left w:val="single" w:sz="24" w:space="0" w:color="DE5B19" w:themeColor="accent3"/>
        <w:bottom w:val="single" w:sz="24" w:space="0" w:color="DE5B19" w:themeColor="accent3"/>
        <w:right w:val="single" w:sz="24" w:space="0" w:color="DE5B19" w:themeColor="accent3"/>
      </w:tblBorders>
    </w:tblPr>
    <w:tcPr>
      <w:shd w:val="clear" w:color="auto" w:fill="DE5B1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B57FC7"/>
    <w:pPr>
      <w:spacing w:after="0" w:line="240" w:lineRule="auto"/>
    </w:pPr>
    <w:rPr>
      <w:color w:val="FFFFFF" w:themeColor="background1"/>
    </w:rPr>
    <w:tblPr>
      <w:tblStyleRowBandSize w:val="1"/>
      <w:tblStyleColBandSize w:val="1"/>
      <w:tblBorders>
        <w:top w:val="single" w:sz="24" w:space="0" w:color="ACBC25" w:themeColor="accent4"/>
        <w:left w:val="single" w:sz="24" w:space="0" w:color="ACBC25" w:themeColor="accent4"/>
        <w:bottom w:val="single" w:sz="24" w:space="0" w:color="ACBC25" w:themeColor="accent4"/>
        <w:right w:val="single" w:sz="24" w:space="0" w:color="ACBC25" w:themeColor="accent4"/>
      </w:tblBorders>
    </w:tblPr>
    <w:tcPr>
      <w:shd w:val="clear" w:color="auto" w:fill="ACBC2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B57FC7"/>
    <w:pPr>
      <w:spacing w:after="0" w:line="240" w:lineRule="auto"/>
    </w:pPr>
    <w:rPr>
      <w:color w:val="FFFFFF" w:themeColor="background1"/>
    </w:rPr>
    <w:tblPr>
      <w:tblStyleRowBandSize w:val="1"/>
      <w:tblStyleColBandSize w:val="1"/>
      <w:tblBorders>
        <w:top w:val="single" w:sz="24" w:space="0" w:color="7B4A0F" w:themeColor="accent5"/>
        <w:left w:val="single" w:sz="24" w:space="0" w:color="7B4A0F" w:themeColor="accent5"/>
        <w:bottom w:val="single" w:sz="24" w:space="0" w:color="7B4A0F" w:themeColor="accent5"/>
        <w:right w:val="single" w:sz="24" w:space="0" w:color="7B4A0F" w:themeColor="accent5"/>
      </w:tblBorders>
    </w:tblPr>
    <w:tcPr>
      <w:shd w:val="clear" w:color="auto" w:fill="7B4A0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B57FC7"/>
    <w:pPr>
      <w:spacing w:after="0" w:line="240" w:lineRule="auto"/>
    </w:pPr>
    <w:rPr>
      <w:color w:val="FFFFFF" w:themeColor="background1"/>
    </w:rPr>
    <w:tblPr>
      <w:tblStyleRowBandSize w:val="1"/>
      <w:tblStyleColBandSize w:val="1"/>
      <w:tblBorders>
        <w:top w:val="single" w:sz="24" w:space="0" w:color="801F2B" w:themeColor="accent6"/>
        <w:left w:val="single" w:sz="24" w:space="0" w:color="801F2B" w:themeColor="accent6"/>
        <w:bottom w:val="single" w:sz="24" w:space="0" w:color="801F2B" w:themeColor="accent6"/>
        <w:right w:val="single" w:sz="24" w:space="0" w:color="801F2B" w:themeColor="accent6"/>
      </w:tblBorders>
    </w:tblPr>
    <w:tcPr>
      <w:shd w:val="clear" w:color="auto" w:fill="801F2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B57FC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B57FC7"/>
    <w:pPr>
      <w:spacing w:after="0" w:line="240" w:lineRule="auto"/>
    </w:pPr>
    <w:rPr>
      <w:color w:val="C71C12" w:themeColor="accent1" w:themeShade="BF"/>
    </w:rPr>
    <w:tblPr>
      <w:tblStyleRowBandSize w:val="1"/>
      <w:tblStyleColBandSize w:val="1"/>
      <w:tblBorders>
        <w:top w:val="single" w:sz="4" w:space="0" w:color="ED4136" w:themeColor="accent1"/>
        <w:bottom w:val="single" w:sz="4" w:space="0" w:color="ED4136" w:themeColor="accent1"/>
      </w:tblBorders>
    </w:tblPr>
    <w:tblStylePr w:type="firstRow">
      <w:rPr>
        <w:b/>
        <w:bCs/>
      </w:rPr>
      <w:tblPr/>
      <w:tcPr>
        <w:tcBorders>
          <w:bottom w:val="single" w:sz="4" w:space="0" w:color="ED4136" w:themeColor="accent1"/>
        </w:tcBorders>
      </w:tcPr>
    </w:tblStylePr>
    <w:tblStylePr w:type="lastRow">
      <w:rPr>
        <w:b/>
        <w:bCs/>
      </w:rPr>
      <w:tblPr/>
      <w:tcPr>
        <w:tcBorders>
          <w:top w:val="double" w:sz="4" w:space="0" w:color="ED4136" w:themeColor="accent1"/>
        </w:tcBorders>
      </w:tcPr>
    </w:tblStylePr>
    <w:tblStylePr w:type="firstCol">
      <w:rPr>
        <w:b/>
        <w:bCs/>
      </w:rPr>
    </w:tblStylePr>
    <w:tblStylePr w:type="lastCol">
      <w:rPr>
        <w:b/>
        <w:bCs/>
      </w:rPr>
    </w:tblStylePr>
    <w:tblStylePr w:type="band1Vert">
      <w:tblPr/>
      <w:tcPr>
        <w:shd w:val="clear" w:color="auto" w:fill="FBD8D6" w:themeFill="accent1" w:themeFillTint="33"/>
      </w:tcPr>
    </w:tblStylePr>
    <w:tblStylePr w:type="band1Horz">
      <w:tblPr/>
      <w:tcPr>
        <w:shd w:val="clear" w:color="auto" w:fill="FBD8D6" w:themeFill="accent1" w:themeFillTint="33"/>
      </w:tcPr>
    </w:tblStylePr>
  </w:style>
  <w:style w:type="table" w:styleId="TableauListe6Couleur-Accentuation2">
    <w:name w:val="List Table 6 Colorful Accent 2"/>
    <w:basedOn w:val="TableauNormal"/>
    <w:uiPriority w:val="51"/>
    <w:rsid w:val="00B57FC7"/>
    <w:pPr>
      <w:spacing w:after="0" w:line="240" w:lineRule="auto"/>
    </w:pPr>
    <w:rPr>
      <w:color w:val="C17B08" w:themeColor="accent2" w:themeShade="BF"/>
    </w:rPr>
    <w:tblPr>
      <w:tblStyleRowBandSize w:val="1"/>
      <w:tblStyleColBandSize w:val="1"/>
      <w:tblBorders>
        <w:top w:val="single" w:sz="4" w:space="0" w:color="F5A219" w:themeColor="accent2"/>
        <w:bottom w:val="single" w:sz="4" w:space="0" w:color="F5A219" w:themeColor="accent2"/>
      </w:tblBorders>
    </w:tblPr>
    <w:tblStylePr w:type="firstRow">
      <w:rPr>
        <w:b/>
        <w:bCs/>
      </w:rPr>
      <w:tblPr/>
      <w:tcPr>
        <w:tcBorders>
          <w:bottom w:val="single" w:sz="4" w:space="0" w:color="F5A219" w:themeColor="accent2"/>
        </w:tcBorders>
      </w:tcPr>
    </w:tblStylePr>
    <w:tblStylePr w:type="lastRow">
      <w:rPr>
        <w:b/>
        <w:bCs/>
      </w:rPr>
      <w:tblPr/>
      <w:tcPr>
        <w:tcBorders>
          <w:top w:val="double" w:sz="4" w:space="0" w:color="F5A219" w:themeColor="accent2"/>
        </w:tcBorders>
      </w:tcPr>
    </w:tblStylePr>
    <w:tblStylePr w:type="firstCol">
      <w:rPr>
        <w:b/>
        <w:bCs/>
      </w:rPr>
    </w:tblStylePr>
    <w:tblStylePr w:type="lastCol">
      <w:rPr>
        <w:b/>
        <w:bCs/>
      </w:rPr>
    </w:tblStylePr>
    <w:tblStylePr w:type="band1Vert">
      <w:tblPr/>
      <w:tcPr>
        <w:shd w:val="clear" w:color="auto" w:fill="FDECD1" w:themeFill="accent2" w:themeFillTint="33"/>
      </w:tcPr>
    </w:tblStylePr>
    <w:tblStylePr w:type="band1Horz">
      <w:tblPr/>
      <w:tcPr>
        <w:shd w:val="clear" w:color="auto" w:fill="FDECD1" w:themeFill="accent2" w:themeFillTint="33"/>
      </w:tcPr>
    </w:tblStylePr>
  </w:style>
  <w:style w:type="table" w:styleId="TableauListe6Couleur-Accentuation3">
    <w:name w:val="List Table 6 Colorful Accent 3"/>
    <w:basedOn w:val="TableauNormal"/>
    <w:uiPriority w:val="51"/>
    <w:rsid w:val="00B57FC7"/>
    <w:pPr>
      <w:spacing w:after="0" w:line="240" w:lineRule="auto"/>
    </w:pPr>
    <w:rPr>
      <w:color w:val="A64312" w:themeColor="accent3" w:themeShade="BF"/>
    </w:rPr>
    <w:tblPr>
      <w:tblStyleRowBandSize w:val="1"/>
      <w:tblStyleColBandSize w:val="1"/>
      <w:tblBorders>
        <w:top w:val="single" w:sz="4" w:space="0" w:color="DE5B19" w:themeColor="accent3"/>
        <w:bottom w:val="single" w:sz="4" w:space="0" w:color="DE5B19" w:themeColor="accent3"/>
      </w:tblBorders>
    </w:tblPr>
    <w:tblStylePr w:type="firstRow">
      <w:rPr>
        <w:b/>
        <w:bCs/>
      </w:rPr>
      <w:tblPr/>
      <w:tcPr>
        <w:tcBorders>
          <w:bottom w:val="single" w:sz="4" w:space="0" w:color="DE5B19" w:themeColor="accent3"/>
        </w:tcBorders>
      </w:tcPr>
    </w:tblStylePr>
    <w:tblStylePr w:type="lastRow">
      <w:rPr>
        <w:b/>
        <w:bCs/>
      </w:rPr>
      <w:tblPr/>
      <w:tcPr>
        <w:tcBorders>
          <w:top w:val="double" w:sz="4" w:space="0" w:color="DE5B19" w:themeColor="accent3"/>
        </w:tcBorders>
      </w:tcPr>
    </w:tblStylePr>
    <w:tblStylePr w:type="firstCol">
      <w:rPr>
        <w:b/>
        <w:bCs/>
      </w:rPr>
    </w:tblStylePr>
    <w:tblStylePr w:type="lastCol">
      <w:rPr>
        <w:b/>
        <w:bCs/>
      </w:rPr>
    </w:tblStylePr>
    <w:tblStylePr w:type="band1Vert">
      <w:tblPr/>
      <w:tcPr>
        <w:shd w:val="clear" w:color="auto" w:fill="F9DDCF" w:themeFill="accent3" w:themeFillTint="33"/>
      </w:tcPr>
    </w:tblStylePr>
    <w:tblStylePr w:type="band1Horz">
      <w:tblPr/>
      <w:tcPr>
        <w:shd w:val="clear" w:color="auto" w:fill="F9DDCF" w:themeFill="accent3" w:themeFillTint="33"/>
      </w:tcPr>
    </w:tblStylePr>
  </w:style>
  <w:style w:type="table" w:styleId="TableauListe6Couleur-Accentuation4">
    <w:name w:val="List Table 6 Colorful Accent 4"/>
    <w:basedOn w:val="TableauNormal"/>
    <w:uiPriority w:val="51"/>
    <w:rsid w:val="00B57FC7"/>
    <w:pPr>
      <w:spacing w:after="0" w:line="240" w:lineRule="auto"/>
    </w:pPr>
    <w:rPr>
      <w:color w:val="808C1B" w:themeColor="accent4" w:themeShade="BF"/>
    </w:rPr>
    <w:tblPr>
      <w:tblStyleRowBandSize w:val="1"/>
      <w:tblStyleColBandSize w:val="1"/>
      <w:tblBorders>
        <w:top w:val="single" w:sz="4" w:space="0" w:color="ACBC25" w:themeColor="accent4"/>
        <w:bottom w:val="single" w:sz="4" w:space="0" w:color="ACBC25" w:themeColor="accent4"/>
      </w:tblBorders>
    </w:tblPr>
    <w:tblStylePr w:type="firstRow">
      <w:rPr>
        <w:b/>
        <w:bCs/>
      </w:rPr>
      <w:tblPr/>
      <w:tcPr>
        <w:tcBorders>
          <w:bottom w:val="single" w:sz="4" w:space="0" w:color="ACBC25" w:themeColor="accent4"/>
        </w:tcBorders>
      </w:tcPr>
    </w:tblStylePr>
    <w:tblStylePr w:type="lastRow">
      <w:rPr>
        <w:b/>
        <w:bCs/>
      </w:rPr>
      <w:tblPr/>
      <w:tcPr>
        <w:tcBorders>
          <w:top w:val="double" w:sz="4" w:space="0" w:color="ACBC25" w:themeColor="accent4"/>
        </w:tcBorders>
      </w:tcPr>
    </w:tblStylePr>
    <w:tblStylePr w:type="firstCol">
      <w:rPr>
        <w:b/>
        <w:bCs/>
      </w:rPr>
    </w:tblStylePr>
    <w:tblStylePr w:type="lastCol">
      <w:rPr>
        <w:b/>
        <w:bCs/>
      </w:rPr>
    </w:tblStylePr>
    <w:tblStylePr w:type="band1Vert">
      <w:tblPr/>
      <w:tcPr>
        <w:shd w:val="clear" w:color="auto" w:fill="F1F5CF" w:themeFill="accent4" w:themeFillTint="33"/>
      </w:tcPr>
    </w:tblStylePr>
    <w:tblStylePr w:type="band1Horz">
      <w:tblPr/>
      <w:tcPr>
        <w:shd w:val="clear" w:color="auto" w:fill="F1F5CF" w:themeFill="accent4" w:themeFillTint="33"/>
      </w:tcPr>
    </w:tblStylePr>
  </w:style>
  <w:style w:type="table" w:styleId="TableauListe6Couleur-Accentuation5">
    <w:name w:val="List Table 6 Colorful Accent 5"/>
    <w:basedOn w:val="TableauNormal"/>
    <w:uiPriority w:val="51"/>
    <w:rsid w:val="00B57FC7"/>
    <w:pPr>
      <w:spacing w:after="0" w:line="240" w:lineRule="auto"/>
    </w:pPr>
    <w:rPr>
      <w:color w:val="5C370B" w:themeColor="accent5" w:themeShade="BF"/>
    </w:rPr>
    <w:tblPr>
      <w:tblStyleRowBandSize w:val="1"/>
      <w:tblStyleColBandSize w:val="1"/>
      <w:tblBorders>
        <w:top w:val="single" w:sz="4" w:space="0" w:color="7B4A0F" w:themeColor="accent5"/>
        <w:bottom w:val="single" w:sz="4" w:space="0" w:color="7B4A0F" w:themeColor="accent5"/>
      </w:tblBorders>
    </w:tblPr>
    <w:tblStylePr w:type="firstRow">
      <w:rPr>
        <w:b/>
        <w:bCs/>
      </w:rPr>
      <w:tblPr/>
      <w:tcPr>
        <w:tcBorders>
          <w:bottom w:val="single" w:sz="4" w:space="0" w:color="7B4A0F" w:themeColor="accent5"/>
        </w:tcBorders>
      </w:tcPr>
    </w:tblStylePr>
    <w:tblStylePr w:type="lastRow">
      <w:rPr>
        <w:b/>
        <w:bCs/>
      </w:rPr>
      <w:tblPr/>
      <w:tcPr>
        <w:tcBorders>
          <w:top w:val="double" w:sz="4" w:space="0" w:color="7B4A0F" w:themeColor="accent5"/>
        </w:tcBorders>
      </w:tcPr>
    </w:tblStylePr>
    <w:tblStylePr w:type="firstCol">
      <w:rPr>
        <w:b/>
        <w:bCs/>
      </w:rPr>
    </w:tblStylePr>
    <w:tblStylePr w:type="lastCol">
      <w:rPr>
        <w:b/>
        <w:bCs/>
      </w:rPr>
    </w:tblStylePr>
    <w:tblStylePr w:type="band1Vert">
      <w:tblPr/>
      <w:tcPr>
        <w:shd w:val="clear" w:color="auto" w:fill="F7DCBC" w:themeFill="accent5" w:themeFillTint="33"/>
      </w:tcPr>
    </w:tblStylePr>
    <w:tblStylePr w:type="band1Horz">
      <w:tblPr/>
      <w:tcPr>
        <w:shd w:val="clear" w:color="auto" w:fill="F7DCBC" w:themeFill="accent5" w:themeFillTint="33"/>
      </w:tcPr>
    </w:tblStylePr>
  </w:style>
  <w:style w:type="table" w:styleId="TableauListe6Couleur-Accentuation6">
    <w:name w:val="List Table 6 Colorful Accent 6"/>
    <w:basedOn w:val="TableauNormal"/>
    <w:uiPriority w:val="51"/>
    <w:rsid w:val="00B57FC7"/>
    <w:pPr>
      <w:spacing w:after="0" w:line="240" w:lineRule="auto"/>
    </w:pPr>
    <w:rPr>
      <w:color w:val="5F1720" w:themeColor="accent6" w:themeShade="BF"/>
    </w:rPr>
    <w:tblPr>
      <w:tblStyleRowBandSize w:val="1"/>
      <w:tblStyleColBandSize w:val="1"/>
      <w:tblBorders>
        <w:top w:val="single" w:sz="4" w:space="0" w:color="801F2B" w:themeColor="accent6"/>
        <w:bottom w:val="single" w:sz="4" w:space="0" w:color="801F2B" w:themeColor="accent6"/>
      </w:tblBorders>
    </w:tblPr>
    <w:tblStylePr w:type="firstRow">
      <w:rPr>
        <w:b/>
        <w:bCs/>
      </w:rPr>
      <w:tblPr/>
      <w:tcPr>
        <w:tcBorders>
          <w:bottom w:val="single" w:sz="4" w:space="0" w:color="801F2B" w:themeColor="accent6"/>
        </w:tcBorders>
      </w:tcPr>
    </w:tblStylePr>
    <w:tblStylePr w:type="lastRow">
      <w:rPr>
        <w:b/>
        <w:bCs/>
      </w:rPr>
      <w:tblPr/>
      <w:tcPr>
        <w:tcBorders>
          <w:top w:val="double" w:sz="4" w:space="0" w:color="801F2B" w:themeColor="accent6"/>
        </w:tcBorders>
      </w:tcPr>
    </w:tblStylePr>
    <w:tblStylePr w:type="firstCol">
      <w:rPr>
        <w:b/>
        <w:bCs/>
      </w:rPr>
    </w:tblStylePr>
    <w:tblStylePr w:type="lastCol">
      <w:rPr>
        <w:b/>
        <w:bCs/>
      </w:rPr>
    </w:tblStylePr>
    <w:tblStylePr w:type="band1Vert">
      <w:tblPr/>
      <w:tcPr>
        <w:shd w:val="clear" w:color="auto" w:fill="F1C6CB" w:themeFill="accent6" w:themeFillTint="33"/>
      </w:tcPr>
    </w:tblStylePr>
    <w:tblStylePr w:type="band1Horz">
      <w:tblPr/>
      <w:tcPr>
        <w:shd w:val="clear" w:color="auto" w:fill="F1C6CB" w:themeFill="accent6" w:themeFillTint="33"/>
      </w:tcPr>
    </w:tblStylePr>
  </w:style>
  <w:style w:type="table" w:styleId="TableauListe7Couleur">
    <w:name w:val="List Table 7 Colorful"/>
    <w:basedOn w:val="TableauNormal"/>
    <w:uiPriority w:val="52"/>
    <w:rsid w:val="00B57FC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B57FC7"/>
    <w:pPr>
      <w:spacing w:after="0" w:line="240" w:lineRule="auto"/>
    </w:pPr>
    <w:rPr>
      <w:color w:val="C71C1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413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413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413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4136" w:themeColor="accent1"/>
        </w:tcBorders>
        <w:shd w:val="clear" w:color="auto" w:fill="FFFFFF" w:themeFill="background1"/>
      </w:tcPr>
    </w:tblStylePr>
    <w:tblStylePr w:type="band1Vert">
      <w:tblPr/>
      <w:tcPr>
        <w:shd w:val="clear" w:color="auto" w:fill="FBD8D6" w:themeFill="accent1" w:themeFillTint="33"/>
      </w:tcPr>
    </w:tblStylePr>
    <w:tblStylePr w:type="band1Horz">
      <w:tblPr/>
      <w:tcPr>
        <w:shd w:val="clear" w:color="auto" w:fill="FBD8D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B57FC7"/>
    <w:pPr>
      <w:spacing w:after="0" w:line="240" w:lineRule="auto"/>
    </w:pPr>
    <w:rPr>
      <w:color w:val="C17B0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A21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A21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A21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A219" w:themeColor="accent2"/>
        </w:tcBorders>
        <w:shd w:val="clear" w:color="auto" w:fill="FFFFFF" w:themeFill="background1"/>
      </w:tcPr>
    </w:tblStylePr>
    <w:tblStylePr w:type="band1Vert">
      <w:tblPr/>
      <w:tcPr>
        <w:shd w:val="clear" w:color="auto" w:fill="FDECD1" w:themeFill="accent2" w:themeFillTint="33"/>
      </w:tcPr>
    </w:tblStylePr>
    <w:tblStylePr w:type="band1Horz">
      <w:tblPr/>
      <w:tcPr>
        <w:shd w:val="clear" w:color="auto" w:fill="FDEC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B57FC7"/>
    <w:pPr>
      <w:spacing w:after="0" w:line="240" w:lineRule="auto"/>
    </w:pPr>
    <w:rPr>
      <w:color w:val="A6431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5B1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5B1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5B1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5B19" w:themeColor="accent3"/>
        </w:tcBorders>
        <w:shd w:val="clear" w:color="auto" w:fill="FFFFFF" w:themeFill="background1"/>
      </w:tcPr>
    </w:tblStylePr>
    <w:tblStylePr w:type="band1Vert">
      <w:tblPr/>
      <w:tcPr>
        <w:shd w:val="clear" w:color="auto" w:fill="F9DDCF" w:themeFill="accent3" w:themeFillTint="33"/>
      </w:tcPr>
    </w:tblStylePr>
    <w:tblStylePr w:type="band1Horz">
      <w:tblPr/>
      <w:tcPr>
        <w:shd w:val="clear" w:color="auto" w:fill="F9DDC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B57FC7"/>
    <w:pPr>
      <w:spacing w:after="0" w:line="240" w:lineRule="auto"/>
    </w:pPr>
    <w:rPr>
      <w:color w:val="808C1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CBC2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CBC2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CBC2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CBC25" w:themeColor="accent4"/>
        </w:tcBorders>
        <w:shd w:val="clear" w:color="auto" w:fill="FFFFFF" w:themeFill="background1"/>
      </w:tcPr>
    </w:tblStylePr>
    <w:tblStylePr w:type="band1Vert">
      <w:tblPr/>
      <w:tcPr>
        <w:shd w:val="clear" w:color="auto" w:fill="F1F5CF" w:themeFill="accent4" w:themeFillTint="33"/>
      </w:tcPr>
    </w:tblStylePr>
    <w:tblStylePr w:type="band1Horz">
      <w:tblPr/>
      <w:tcPr>
        <w:shd w:val="clear" w:color="auto" w:fill="F1F5C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B57FC7"/>
    <w:pPr>
      <w:spacing w:after="0" w:line="240" w:lineRule="auto"/>
    </w:pPr>
    <w:rPr>
      <w:color w:val="5C370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B4A0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B4A0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B4A0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B4A0F" w:themeColor="accent5"/>
        </w:tcBorders>
        <w:shd w:val="clear" w:color="auto" w:fill="FFFFFF" w:themeFill="background1"/>
      </w:tcPr>
    </w:tblStylePr>
    <w:tblStylePr w:type="band1Vert">
      <w:tblPr/>
      <w:tcPr>
        <w:shd w:val="clear" w:color="auto" w:fill="F7DCBC" w:themeFill="accent5" w:themeFillTint="33"/>
      </w:tcPr>
    </w:tblStylePr>
    <w:tblStylePr w:type="band1Horz">
      <w:tblPr/>
      <w:tcPr>
        <w:shd w:val="clear" w:color="auto" w:fill="F7DCB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B57FC7"/>
    <w:pPr>
      <w:spacing w:after="0" w:line="240" w:lineRule="auto"/>
    </w:pPr>
    <w:rPr>
      <w:color w:val="5F172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1F2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1F2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1F2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1F2B" w:themeColor="accent6"/>
        </w:tcBorders>
        <w:shd w:val="clear" w:color="auto" w:fill="FFFFFF" w:themeFill="background1"/>
      </w:tcPr>
    </w:tblStylePr>
    <w:tblStylePr w:type="band1Vert">
      <w:tblPr/>
      <w:tcPr>
        <w:shd w:val="clear" w:color="auto" w:fill="F1C6CB" w:themeFill="accent6" w:themeFillTint="33"/>
      </w:tcPr>
    </w:tblStylePr>
    <w:tblStylePr w:type="band1Horz">
      <w:tblPr/>
      <w:tcPr>
        <w:shd w:val="clear" w:color="auto" w:fill="F1C6C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B57FC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TextedemacroCar">
    <w:name w:val="Texte de macro Car"/>
    <w:basedOn w:val="Policepardfaut"/>
    <w:link w:val="Textedemacro"/>
    <w:uiPriority w:val="99"/>
    <w:semiHidden/>
    <w:rsid w:val="00B57FC7"/>
    <w:rPr>
      <w:rFonts w:ascii="Consolas" w:hAnsi="Consolas"/>
      <w:sz w:val="22"/>
      <w:szCs w:val="20"/>
    </w:rPr>
  </w:style>
  <w:style w:type="table" w:styleId="Grillemoyenne1">
    <w:name w:val="Medium Grid 1"/>
    <w:basedOn w:val="TableauNormal"/>
    <w:uiPriority w:val="67"/>
    <w:semiHidden/>
    <w:unhideWhenUsed/>
    <w:rsid w:val="00B57FC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B57FC7"/>
    <w:pPr>
      <w:spacing w:after="0" w:line="240" w:lineRule="auto"/>
    </w:pPr>
    <w:tblPr>
      <w:tblStyleRowBandSize w:val="1"/>
      <w:tblStyleColBandSize w:val="1"/>
      <w:tblBorders>
        <w:top w:val="single" w:sz="8" w:space="0" w:color="F17068" w:themeColor="accent1" w:themeTint="BF"/>
        <w:left w:val="single" w:sz="8" w:space="0" w:color="F17068" w:themeColor="accent1" w:themeTint="BF"/>
        <w:bottom w:val="single" w:sz="8" w:space="0" w:color="F17068" w:themeColor="accent1" w:themeTint="BF"/>
        <w:right w:val="single" w:sz="8" w:space="0" w:color="F17068" w:themeColor="accent1" w:themeTint="BF"/>
        <w:insideH w:val="single" w:sz="8" w:space="0" w:color="F17068" w:themeColor="accent1" w:themeTint="BF"/>
        <w:insideV w:val="single" w:sz="8" w:space="0" w:color="F17068" w:themeColor="accent1" w:themeTint="BF"/>
      </w:tblBorders>
    </w:tblPr>
    <w:tcPr>
      <w:shd w:val="clear" w:color="auto" w:fill="FACFCD" w:themeFill="accent1" w:themeFillTint="3F"/>
    </w:tcPr>
    <w:tblStylePr w:type="firstRow">
      <w:rPr>
        <w:b/>
        <w:bCs/>
      </w:rPr>
    </w:tblStylePr>
    <w:tblStylePr w:type="lastRow">
      <w:rPr>
        <w:b/>
        <w:bCs/>
      </w:rPr>
      <w:tblPr/>
      <w:tcPr>
        <w:tcBorders>
          <w:top w:val="single" w:sz="18" w:space="0" w:color="F17068" w:themeColor="accent1" w:themeTint="BF"/>
        </w:tcBorders>
      </w:tcPr>
    </w:tblStylePr>
    <w:tblStylePr w:type="firstCol">
      <w:rPr>
        <w:b/>
        <w:bCs/>
      </w:rPr>
    </w:tblStylePr>
    <w:tblStylePr w:type="lastCol">
      <w:rPr>
        <w:b/>
        <w:bCs/>
      </w:rPr>
    </w:tblStylePr>
    <w:tblStylePr w:type="band1Vert">
      <w:tblPr/>
      <w:tcPr>
        <w:shd w:val="clear" w:color="auto" w:fill="F6A09A" w:themeFill="accent1" w:themeFillTint="7F"/>
      </w:tcPr>
    </w:tblStylePr>
    <w:tblStylePr w:type="band1Horz">
      <w:tblPr/>
      <w:tcPr>
        <w:shd w:val="clear" w:color="auto" w:fill="F6A09A" w:themeFill="accent1" w:themeFillTint="7F"/>
      </w:tcPr>
    </w:tblStylePr>
  </w:style>
  <w:style w:type="table" w:styleId="Grillemoyenne1-Accent2">
    <w:name w:val="Medium Grid 1 Accent 2"/>
    <w:basedOn w:val="TableauNormal"/>
    <w:uiPriority w:val="67"/>
    <w:semiHidden/>
    <w:unhideWhenUsed/>
    <w:rsid w:val="00B57FC7"/>
    <w:pPr>
      <w:spacing w:after="0" w:line="240" w:lineRule="auto"/>
    </w:pPr>
    <w:tblPr>
      <w:tblStyleRowBandSize w:val="1"/>
      <w:tblStyleColBandSize w:val="1"/>
      <w:tblBorders>
        <w:top w:val="single" w:sz="8" w:space="0" w:color="F7B852" w:themeColor="accent2" w:themeTint="BF"/>
        <w:left w:val="single" w:sz="8" w:space="0" w:color="F7B852" w:themeColor="accent2" w:themeTint="BF"/>
        <w:bottom w:val="single" w:sz="8" w:space="0" w:color="F7B852" w:themeColor="accent2" w:themeTint="BF"/>
        <w:right w:val="single" w:sz="8" w:space="0" w:color="F7B852" w:themeColor="accent2" w:themeTint="BF"/>
        <w:insideH w:val="single" w:sz="8" w:space="0" w:color="F7B852" w:themeColor="accent2" w:themeTint="BF"/>
        <w:insideV w:val="single" w:sz="8" w:space="0" w:color="F7B852" w:themeColor="accent2" w:themeTint="BF"/>
      </w:tblBorders>
    </w:tblPr>
    <w:tcPr>
      <w:shd w:val="clear" w:color="auto" w:fill="FCE7C6" w:themeFill="accent2" w:themeFillTint="3F"/>
    </w:tcPr>
    <w:tblStylePr w:type="firstRow">
      <w:rPr>
        <w:b/>
        <w:bCs/>
      </w:rPr>
    </w:tblStylePr>
    <w:tblStylePr w:type="lastRow">
      <w:rPr>
        <w:b/>
        <w:bCs/>
      </w:rPr>
      <w:tblPr/>
      <w:tcPr>
        <w:tcBorders>
          <w:top w:val="single" w:sz="18" w:space="0" w:color="F7B852" w:themeColor="accent2" w:themeTint="BF"/>
        </w:tcBorders>
      </w:tcPr>
    </w:tblStylePr>
    <w:tblStylePr w:type="firstCol">
      <w:rPr>
        <w:b/>
        <w:bCs/>
      </w:rPr>
    </w:tblStylePr>
    <w:tblStylePr w:type="lastCol">
      <w:rPr>
        <w:b/>
        <w:bCs/>
      </w:rPr>
    </w:tblStylePr>
    <w:tblStylePr w:type="band1Vert">
      <w:tblPr/>
      <w:tcPr>
        <w:shd w:val="clear" w:color="auto" w:fill="FAD08C" w:themeFill="accent2" w:themeFillTint="7F"/>
      </w:tcPr>
    </w:tblStylePr>
    <w:tblStylePr w:type="band1Horz">
      <w:tblPr/>
      <w:tcPr>
        <w:shd w:val="clear" w:color="auto" w:fill="FAD08C" w:themeFill="accent2" w:themeFillTint="7F"/>
      </w:tcPr>
    </w:tblStylePr>
  </w:style>
  <w:style w:type="table" w:styleId="Grillemoyenne1-Accent3">
    <w:name w:val="Medium Grid 1 Accent 3"/>
    <w:basedOn w:val="TableauNormal"/>
    <w:uiPriority w:val="67"/>
    <w:semiHidden/>
    <w:unhideWhenUsed/>
    <w:rsid w:val="00B57FC7"/>
    <w:pPr>
      <w:spacing w:after="0" w:line="240" w:lineRule="auto"/>
    </w:pPr>
    <w:tblPr>
      <w:tblStyleRowBandSize w:val="1"/>
      <w:tblStyleColBandSize w:val="1"/>
      <w:tblBorders>
        <w:top w:val="single" w:sz="8" w:space="0" w:color="EB824D" w:themeColor="accent3" w:themeTint="BF"/>
        <w:left w:val="single" w:sz="8" w:space="0" w:color="EB824D" w:themeColor="accent3" w:themeTint="BF"/>
        <w:bottom w:val="single" w:sz="8" w:space="0" w:color="EB824D" w:themeColor="accent3" w:themeTint="BF"/>
        <w:right w:val="single" w:sz="8" w:space="0" w:color="EB824D" w:themeColor="accent3" w:themeTint="BF"/>
        <w:insideH w:val="single" w:sz="8" w:space="0" w:color="EB824D" w:themeColor="accent3" w:themeTint="BF"/>
        <w:insideV w:val="single" w:sz="8" w:space="0" w:color="EB824D" w:themeColor="accent3" w:themeTint="BF"/>
      </w:tblBorders>
    </w:tblPr>
    <w:tcPr>
      <w:shd w:val="clear" w:color="auto" w:fill="F8D5C4" w:themeFill="accent3" w:themeFillTint="3F"/>
    </w:tcPr>
    <w:tblStylePr w:type="firstRow">
      <w:rPr>
        <w:b/>
        <w:bCs/>
      </w:rPr>
    </w:tblStylePr>
    <w:tblStylePr w:type="lastRow">
      <w:rPr>
        <w:b/>
        <w:bCs/>
      </w:rPr>
      <w:tblPr/>
      <w:tcPr>
        <w:tcBorders>
          <w:top w:val="single" w:sz="18" w:space="0" w:color="EB824D" w:themeColor="accent3" w:themeTint="BF"/>
        </w:tcBorders>
      </w:tcPr>
    </w:tblStylePr>
    <w:tblStylePr w:type="firstCol">
      <w:rPr>
        <w:b/>
        <w:bCs/>
      </w:rPr>
    </w:tblStylePr>
    <w:tblStylePr w:type="lastCol">
      <w:rPr>
        <w:b/>
        <w:bCs/>
      </w:rPr>
    </w:tblStylePr>
    <w:tblStylePr w:type="band1Vert">
      <w:tblPr/>
      <w:tcPr>
        <w:shd w:val="clear" w:color="auto" w:fill="F1AC89" w:themeFill="accent3" w:themeFillTint="7F"/>
      </w:tcPr>
    </w:tblStylePr>
    <w:tblStylePr w:type="band1Horz">
      <w:tblPr/>
      <w:tcPr>
        <w:shd w:val="clear" w:color="auto" w:fill="F1AC89" w:themeFill="accent3" w:themeFillTint="7F"/>
      </w:tcPr>
    </w:tblStylePr>
  </w:style>
  <w:style w:type="table" w:styleId="Grillemoyenne1-Accent4">
    <w:name w:val="Medium Grid 1 Accent 4"/>
    <w:basedOn w:val="TableauNormal"/>
    <w:uiPriority w:val="67"/>
    <w:semiHidden/>
    <w:unhideWhenUsed/>
    <w:rsid w:val="00B57FC7"/>
    <w:pPr>
      <w:spacing w:after="0" w:line="240" w:lineRule="auto"/>
    </w:pPr>
    <w:tblPr>
      <w:tblStyleRowBandSize w:val="1"/>
      <w:tblStyleColBandSize w:val="1"/>
      <w:tblBorders>
        <w:top w:val="single" w:sz="8" w:space="0" w:color="CCDB4C" w:themeColor="accent4" w:themeTint="BF"/>
        <w:left w:val="single" w:sz="8" w:space="0" w:color="CCDB4C" w:themeColor="accent4" w:themeTint="BF"/>
        <w:bottom w:val="single" w:sz="8" w:space="0" w:color="CCDB4C" w:themeColor="accent4" w:themeTint="BF"/>
        <w:right w:val="single" w:sz="8" w:space="0" w:color="CCDB4C" w:themeColor="accent4" w:themeTint="BF"/>
        <w:insideH w:val="single" w:sz="8" w:space="0" w:color="CCDB4C" w:themeColor="accent4" w:themeTint="BF"/>
        <w:insideV w:val="single" w:sz="8" w:space="0" w:color="CCDB4C" w:themeColor="accent4" w:themeTint="BF"/>
      </w:tblBorders>
    </w:tblPr>
    <w:tcPr>
      <w:shd w:val="clear" w:color="auto" w:fill="EEF3C3" w:themeFill="accent4" w:themeFillTint="3F"/>
    </w:tcPr>
    <w:tblStylePr w:type="firstRow">
      <w:rPr>
        <w:b/>
        <w:bCs/>
      </w:rPr>
    </w:tblStylePr>
    <w:tblStylePr w:type="lastRow">
      <w:rPr>
        <w:b/>
        <w:bCs/>
      </w:rPr>
      <w:tblPr/>
      <w:tcPr>
        <w:tcBorders>
          <w:top w:val="single" w:sz="18" w:space="0" w:color="CCDB4C" w:themeColor="accent4" w:themeTint="BF"/>
        </w:tcBorders>
      </w:tcPr>
    </w:tblStylePr>
    <w:tblStylePr w:type="firstCol">
      <w:rPr>
        <w:b/>
        <w:bCs/>
      </w:rPr>
    </w:tblStylePr>
    <w:tblStylePr w:type="lastCol">
      <w:rPr>
        <w:b/>
        <w:bCs/>
      </w:rPr>
    </w:tblStylePr>
    <w:tblStylePr w:type="band1Vert">
      <w:tblPr/>
      <w:tcPr>
        <w:shd w:val="clear" w:color="auto" w:fill="DDE788" w:themeFill="accent4" w:themeFillTint="7F"/>
      </w:tcPr>
    </w:tblStylePr>
    <w:tblStylePr w:type="band1Horz">
      <w:tblPr/>
      <w:tcPr>
        <w:shd w:val="clear" w:color="auto" w:fill="DDE788" w:themeFill="accent4" w:themeFillTint="7F"/>
      </w:tcPr>
    </w:tblStylePr>
  </w:style>
  <w:style w:type="table" w:styleId="Grillemoyenne1-Accent5">
    <w:name w:val="Medium Grid 1 Accent 5"/>
    <w:basedOn w:val="TableauNormal"/>
    <w:uiPriority w:val="67"/>
    <w:semiHidden/>
    <w:unhideWhenUsed/>
    <w:rsid w:val="00B57FC7"/>
    <w:pPr>
      <w:spacing w:after="0" w:line="240" w:lineRule="auto"/>
    </w:pPr>
    <w:tblPr>
      <w:tblStyleRowBandSize w:val="1"/>
      <w:tblStyleColBandSize w:val="1"/>
      <w:tblBorders>
        <w:top w:val="single" w:sz="8" w:space="0" w:color="CE7B19" w:themeColor="accent5" w:themeTint="BF"/>
        <w:left w:val="single" w:sz="8" w:space="0" w:color="CE7B19" w:themeColor="accent5" w:themeTint="BF"/>
        <w:bottom w:val="single" w:sz="8" w:space="0" w:color="CE7B19" w:themeColor="accent5" w:themeTint="BF"/>
        <w:right w:val="single" w:sz="8" w:space="0" w:color="CE7B19" w:themeColor="accent5" w:themeTint="BF"/>
        <w:insideH w:val="single" w:sz="8" w:space="0" w:color="CE7B19" w:themeColor="accent5" w:themeTint="BF"/>
        <w:insideV w:val="single" w:sz="8" w:space="0" w:color="CE7B19" w:themeColor="accent5" w:themeTint="BF"/>
      </w:tblBorders>
    </w:tblPr>
    <w:tcPr>
      <w:shd w:val="clear" w:color="auto" w:fill="F5D4AD" w:themeFill="accent5" w:themeFillTint="3F"/>
    </w:tcPr>
    <w:tblStylePr w:type="firstRow">
      <w:rPr>
        <w:b/>
        <w:bCs/>
      </w:rPr>
    </w:tblStylePr>
    <w:tblStylePr w:type="lastRow">
      <w:rPr>
        <w:b/>
        <w:bCs/>
      </w:rPr>
      <w:tblPr/>
      <w:tcPr>
        <w:tcBorders>
          <w:top w:val="single" w:sz="18" w:space="0" w:color="CE7B19" w:themeColor="accent5" w:themeTint="BF"/>
        </w:tcBorders>
      </w:tcPr>
    </w:tblStylePr>
    <w:tblStylePr w:type="firstCol">
      <w:rPr>
        <w:b/>
        <w:bCs/>
      </w:rPr>
    </w:tblStylePr>
    <w:tblStylePr w:type="lastCol">
      <w:rPr>
        <w:b/>
        <w:bCs/>
      </w:rPr>
    </w:tblStylePr>
    <w:tblStylePr w:type="band1Vert">
      <w:tblPr/>
      <w:tcPr>
        <w:shd w:val="clear" w:color="auto" w:fill="EAA859" w:themeFill="accent5" w:themeFillTint="7F"/>
      </w:tcPr>
    </w:tblStylePr>
    <w:tblStylePr w:type="band1Horz">
      <w:tblPr/>
      <w:tcPr>
        <w:shd w:val="clear" w:color="auto" w:fill="EAA859" w:themeFill="accent5" w:themeFillTint="7F"/>
      </w:tcPr>
    </w:tblStylePr>
  </w:style>
  <w:style w:type="table" w:styleId="Grillemoyenne1-Accent6">
    <w:name w:val="Medium Grid 1 Accent 6"/>
    <w:basedOn w:val="TableauNormal"/>
    <w:uiPriority w:val="67"/>
    <w:semiHidden/>
    <w:unhideWhenUsed/>
    <w:rsid w:val="00B57FC7"/>
    <w:pPr>
      <w:spacing w:after="0" w:line="240" w:lineRule="auto"/>
    </w:pPr>
    <w:tblPr>
      <w:tblStyleRowBandSize w:val="1"/>
      <w:tblStyleColBandSize w:val="1"/>
      <w:tblBorders>
        <w:top w:val="single" w:sz="8" w:space="0" w:color="C63042" w:themeColor="accent6" w:themeTint="BF"/>
        <w:left w:val="single" w:sz="8" w:space="0" w:color="C63042" w:themeColor="accent6" w:themeTint="BF"/>
        <w:bottom w:val="single" w:sz="8" w:space="0" w:color="C63042" w:themeColor="accent6" w:themeTint="BF"/>
        <w:right w:val="single" w:sz="8" w:space="0" w:color="C63042" w:themeColor="accent6" w:themeTint="BF"/>
        <w:insideH w:val="single" w:sz="8" w:space="0" w:color="C63042" w:themeColor="accent6" w:themeTint="BF"/>
        <w:insideV w:val="single" w:sz="8" w:space="0" w:color="C63042" w:themeColor="accent6" w:themeTint="BF"/>
      </w:tblBorders>
    </w:tblPr>
    <w:tcPr>
      <w:shd w:val="clear" w:color="auto" w:fill="EEB8BF" w:themeFill="accent6" w:themeFillTint="3F"/>
    </w:tcPr>
    <w:tblStylePr w:type="firstRow">
      <w:rPr>
        <w:b/>
        <w:bCs/>
      </w:rPr>
    </w:tblStylePr>
    <w:tblStylePr w:type="lastRow">
      <w:rPr>
        <w:b/>
        <w:bCs/>
      </w:rPr>
      <w:tblPr/>
      <w:tcPr>
        <w:tcBorders>
          <w:top w:val="single" w:sz="18" w:space="0" w:color="C63042" w:themeColor="accent6" w:themeTint="BF"/>
        </w:tcBorders>
      </w:tcPr>
    </w:tblStylePr>
    <w:tblStylePr w:type="firstCol">
      <w:rPr>
        <w:b/>
        <w:bCs/>
      </w:rPr>
    </w:tblStylePr>
    <w:tblStylePr w:type="lastCol">
      <w:rPr>
        <w:b/>
        <w:bCs/>
      </w:rPr>
    </w:tblStylePr>
    <w:tblStylePr w:type="band1Vert">
      <w:tblPr/>
      <w:tcPr>
        <w:shd w:val="clear" w:color="auto" w:fill="DD727F" w:themeFill="accent6" w:themeFillTint="7F"/>
      </w:tcPr>
    </w:tblStylePr>
    <w:tblStylePr w:type="band1Horz">
      <w:tblPr/>
      <w:tcPr>
        <w:shd w:val="clear" w:color="auto" w:fill="DD727F" w:themeFill="accent6" w:themeFillTint="7F"/>
      </w:tcPr>
    </w:tblStylePr>
  </w:style>
  <w:style w:type="table" w:styleId="Grillemoyenne2">
    <w:name w:val="Medium Grid 2"/>
    <w:basedOn w:val="Tableau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4136" w:themeColor="accent1"/>
        <w:left w:val="single" w:sz="8" w:space="0" w:color="ED4136" w:themeColor="accent1"/>
        <w:bottom w:val="single" w:sz="8" w:space="0" w:color="ED4136" w:themeColor="accent1"/>
        <w:right w:val="single" w:sz="8" w:space="0" w:color="ED4136" w:themeColor="accent1"/>
        <w:insideH w:val="single" w:sz="8" w:space="0" w:color="ED4136" w:themeColor="accent1"/>
        <w:insideV w:val="single" w:sz="8" w:space="0" w:color="ED4136" w:themeColor="accent1"/>
      </w:tblBorders>
    </w:tblPr>
    <w:tcPr>
      <w:shd w:val="clear" w:color="auto" w:fill="FACFCD" w:themeFill="accent1" w:themeFillTint="3F"/>
    </w:tcPr>
    <w:tblStylePr w:type="firstRow">
      <w:rPr>
        <w:b/>
        <w:bCs/>
        <w:color w:val="000000" w:themeColor="text1"/>
      </w:rPr>
      <w:tblPr/>
      <w:tcPr>
        <w:shd w:val="clear" w:color="auto" w:fill="FDEC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8D6" w:themeFill="accent1" w:themeFillTint="33"/>
      </w:tcPr>
    </w:tblStylePr>
    <w:tblStylePr w:type="band1Vert">
      <w:tblPr/>
      <w:tcPr>
        <w:shd w:val="clear" w:color="auto" w:fill="F6A09A" w:themeFill="accent1" w:themeFillTint="7F"/>
      </w:tcPr>
    </w:tblStylePr>
    <w:tblStylePr w:type="band1Horz">
      <w:tblPr/>
      <w:tcPr>
        <w:tcBorders>
          <w:insideH w:val="single" w:sz="6" w:space="0" w:color="ED4136" w:themeColor="accent1"/>
          <w:insideV w:val="single" w:sz="6" w:space="0" w:color="ED4136" w:themeColor="accent1"/>
        </w:tcBorders>
        <w:shd w:val="clear" w:color="auto" w:fill="F6A09A"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5A219" w:themeColor="accent2"/>
        <w:left w:val="single" w:sz="8" w:space="0" w:color="F5A219" w:themeColor="accent2"/>
        <w:bottom w:val="single" w:sz="8" w:space="0" w:color="F5A219" w:themeColor="accent2"/>
        <w:right w:val="single" w:sz="8" w:space="0" w:color="F5A219" w:themeColor="accent2"/>
        <w:insideH w:val="single" w:sz="8" w:space="0" w:color="F5A219" w:themeColor="accent2"/>
        <w:insideV w:val="single" w:sz="8" w:space="0" w:color="F5A219" w:themeColor="accent2"/>
      </w:tblBorders>
    </w:tblPr>
    <w:tcPr>
      <w:shd w:val="clear" w:color="auto" w:fill="FCE7C6" w:themeFill="accent2" w:themeFillTint="3F"/>
    </w:tcPr>
    <w:tblStylePr w:type="firstRow">
      <w:rPr>
        <w:b/>
        <w:bCs/>
        <w:color w:val="000000" w:themeColor="text1"/>
      </w:rPr>
      <w:tblPr/>
      <w:tcPr>
        <w:shd w:val="clear" w:color="auto" w:fill="FEF5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1" w:themeFill="accent2" w:themeFillTint="33"/>
      </w:tcPr>
    </w:tblStylePr>
    <w:tblStylePr w:type="band1Vert">
      <w:tblPr/>
      <w:tcPr>
        <w:shd w:val="clear" w:color="auto" w:fill="FAD08C" w:themeFill="accent2" w:themeFillTint="7F"/>
      </w:tcPr>
    </w:tblStylePr>
    <w:tblStylePr w:type="band1Horz">
      <w:tblPr/>
      <w:tcPr>
        <w:tcBorders>
          <w:insideH w:val="single" w:sz="6" w:space="0" w:color="F5A219" w:themeColor="accent2"/>
          <w:insideV w:val="single" w:sz="6" w:space="0" w:color="F5A219" w:themeColor="accent2"/>
        </w:tcBorders>
        <w:shd w:val="clear" w:color="auto" w:fill="FAD08C"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5B19" w:themeColor="accent3"/>
        <w:left w:val="single" w:sz="8" w:space="0" w:color="DE5B19" w:themeColor="accent3"/>
        <w:bottom w:val="single" w:sz="8" w:space="0" w:color="DE5B19" w:themeColor="accent3"/>
        <w:right w:val="single" w:sz="8" w:space="0" w:color="DE5B19" w:themeColor="accent3"/>
        <w:insideH w:val="single" w:sz="8" w:space="0" w:color="DE5B19" w:themeColor="accent3"/>
        <w:insideV w:val="single" w:sz="8" w:space="0" w:color="DE5B19" w:themeColor="accent3"/>
      </w:tblBorders>
    </w:tblPr>
    <w:tcPr>
      <w:shd w:val="clear" w:color="auto" w:fill="F8D5C4" w:themeFill="accent3" w:themeFillTint="3F"/>
    </w:tcPr>
    <w:tblStylePr w:type="firstRow">
      <w:rPr>
        <w:b/>
        <w:bCs/>
        <w:color w:val="000000" w:themeColor="text1"/>
      </w:rPr>
      <w:tblPr/>
      <w:tcPr>
        <w:shd w:val="clear" w:color="auto" w:fill="FCEE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CF" w:themeFill="accent3" w:themeFillTint="33"/>
      </w:tcPr>
    </w:tblStylePr>
    <w:tblStylePr w:type="band1Vert">
      <w:tblPr/>
      <w:tcPr>
        <w:shd w:val="clear" w:color="auto" w:fill="F1AC89" w:themeFill="accent3" w:themeFillTint="7F"/>
      </w:tcPr>
    </w:tblStylePr>
    <w:tblStylePr w:type="band1Horz">
      <w:tblPr/>
      <w:tcPr>
        <w:tcBorders>
          <w:insideH w:val="single" w:sz="6" w:space="0" w:color="DE5B19" w:themeColor="accent3"/>
          <w:insideV w:val="single" w:sz="6" w:space="0" w:color="DE5B19" w:themeColor="accent3"/>
        </w:tcBorders>
        <w:shd w:val="clear" w:color="auto" w:fill="F1AC89"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BC25" w:themeColor="accent4"/>
        <w:left w:val="single" w:sz="8" w:space="0" w:color="ACBC25" w:themeColor="accent4"/>
        <w:bottom w:val="single" w:sz="8" w:space="0" w:color="ACBC25" w:themeColor="accent4"/>
        <w:right w:val="single" w:sz="8" w:space="0" w:color="ACBC25" w:themeColor="accent4"/>
        <w:insideH w:val="single" w:sz="8" w:space="0" w:color="ACBC25" w:themeColor="accent4"/>
        <w:insideV w:val="single" w:sz="8" w:space="0" w:color="ACBC25" w:themeColor="accent4"/>
      </w:tblBorders>
    </w:tblPr>
    <w:tcPr>
      <w:shd w:val="clear" w:color="auto" w:fill="EEF3C3" w:themeFill="accent4" w:themeFillTint="3F"/>
    </w:tcPr>
    <w:tblStylePr w:type="firstRow">
      <w:rPr>
        <w:b/>
        <w:bCs/>
        <w:color w:val="000000" w:themeColor="text1"/>
      </w:rPr>
      <w:tblPr/>
      <w:tcPr>
        <w:shd w:val="clear" w:color="auto" w:fill="F8FA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5CF" w:themeFill="accent4" w:themeFillTint="33"/>
      </w:tcPr>
    </w:tblStylePr>
    <w:tblStylePr w:type="band1Vert">
      <w:tblPr/>
      <w:tcPr>
        <w:shd w:val="clear" w:color="auto" w:fill="DDE788" w:themeFill="accent4" w:themeFillTint="7F"/>
      </w:tcPr>
    </w:tblStylePr>
    <w:tblStylePr w:type="band1Horz">
      <w:tblPr/>
      <w:tcPr>
        <w:tcBorders>
          <w:insideH w:val="single" w:sz="6" w:space="0" w:color="ACBC25" w:themeColor="accent4"/>
          <w:insideV w:val="single" w:sz="6" w:space="0" w:color="ACBC25" w:themeColor="accent4"/>
        </w:tcBorders>
        <w:shd w:val="clear" w:color="auto" w:fill="DDE788"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4A0F" w:themeColor="accent5"/>
        <w:left w:val="single" w:sz="8" w:space="0" w:color="7B4A0F" w:themeColor="accent5"/>
        <w:bottom w:val="single" w:sz="8" w:space="0" w:color="7B4A0F" w:themeColor="accent5"/>
        <w:right w:val="single" w:sz="8" w:space="0" w:color="7B4A0F" w:themeColor="accent5"/>
        <w:insideH w:val="single" w:sz="8" w:space="0" w:color="7B4A0F" w:themeColor="accent5"/>
        <w:insideV w:val="single" w:sz="8" w:space="0" w:color="7B4A0F" w:themeColor="accent5"/>
      </w:tblBorders>
    </w:tblPr>
    <w:tcPr>
      <w:shd w:val="clear" w:color="auto" w:fill="F5D4AD" w:themeFill="accent5" w:themeFillTint="3F"/>
    </w:tcPr>
    <w:tblStylePr w:type="firstRow">
      <w:rPr>
        <w:b/>
        <w:bCs/>
        <w:color w:val="000000" w:themeColor="text1"/>
      </w:rPr>
      <w:tblPr/>
      <w:tcPr>
        <w:shd w:val="clear" w:color="auto" w:fill="FBEDD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DCBC" w:themeFill="accent5" w:themeFillTint="33"/>
      </w:tcPr>
    </w:tblStylePr>
    <w:tblStylePr w:type="band1Vert">
      <w:tblPr/>
      <w:tcPr>
        <w:shd w:val="clear" w:color="auto" w:fill="EAA859" w:themeFill="accent5" w:themeFillTint="7F"/>
      </w:tcPr>
    </w:tblStylePr>
    <w:tblStylePr w:type="band1Horz">
      <w:tblPr/>
      <w:tcPr>
        <w:tcBorders>
          <w:insideH w:val="single" w:sz="6" w:space="0" w:color="7B4A0F" w:themeColor="accent5"/>
          <w:insideV w:val="single" w:sz="6" w:space="0" w:color="7B4A0F" w:themeColor="accent5"/>
        </w:tcBorders>
        <w:shd w:val="clear" w:color="auto" w:fill="EAA859"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1F2B" w:themeColor="accent6"/>
        <w:left w:val="single" w:sz="8" w:space="0" w:color="801F2B" w:themeColor="accent6"/>
        <w:bottom w:val="single" w:sz="8" w:space="0" w:color="801F2B" w:themeColor="accent6"/>
        <w:right w:val="single" w:sz="8" w:space="0" w:color="801F2B" w:themeColor="accent6"/>
        <w:insideH w:val="single" w:sz="8" w:space="0" w:color="801F2B" w:themeColor="accent6"/>
        <w:insideV w:val="single" w:sz="8" w:space="0" w:color="801F2B" w:themeColor="accent6"/>
      </w:tblBorders>
    </w:tblPr>
    <w:tcPr>
      <w:shd w:val="clear" w:color="auto" w:fill="EEB8BF" w:themeFill="accent6" w:themeFillTint="3F"/>
    </w:tcPr>
    <w:tblStylePr w:type="firstRow">
      <w:rPr>
        <w:b/>
        <w:bCs/>
        <w:color w:val="000000" w:themeColor="text1"/>
      </w:rPr>
      <w:tblPr/>
      <w:tcPr>
        <w:shd w:val="clear" w:color="auto" w:fill="F8E3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C6CB" w:themeFill="accent6" w:themeFillTint="33"/>
      </w:tcPr>
    </w:tblStylePr>
    <w:tblStylePr w:type="band1Vert">
      <w:tblPr/>
      <w:tcPr>
        <w:shd w:val="clear" w:color="auto" w:fill="DD727F" w:themeFill="accent6" w:themeFillTint="7F"/>
      </w:tcPr>
    </w:tblStylePr>
    <w:tblStylePr w:type="band1Horz">
      <w:tblPr/>
      <w:tcPr>
        <w:tcBorders>
          <w:insideH w:val="single" w:sz="6" w:space="0" w:color="801F2B" w:themeColor="accent6"/>
          <w:insideV w:val="single" w:sz="6" w:space="0" w:color="801F2B" w:themeColor="accent6"/>
        </w:tcBorders>
        <w:shd w:val="clear" w:color="auto" w:fill="DD727F"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FC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413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413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413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413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A09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A09A" w:themeFill="accent1" w:themeFillTint="7F"/>
      </w:tcPr>
    </w:tblStylePr>
  </w:style>
  <w:style w:type="table" w:styleId="Grillemoyenne3-Accent2">
    <w:name w:val="Medium Grid 3 Accent 2"/>
    <w:basedOn w:val="Tableau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A21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A21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A21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A21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0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08C" w:themeFill="accent2" w:themeFillTint="7F"/>
      </w:tcPr>
    </w:tblStylePr>
  </w:style>
  <w:style w:type="table" w:styleId="Grillemoyenne3-Accent3">
    <w:name w:val="Medium Grid 3 Accent 3"/>
    <w:basedOn w:val="Tableau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C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5B1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5B1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5B1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5B1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C8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C89" w:themeFill="accent3" w:themeFillTint="7F"/>
      </w:tcPr>
    </w:tblStylePr>
  </w:style>
  <w:style w:type="table" w:styleId="Grillemoyenne3-Accent4">
    <w:name w:val="Medium Grid 3 Accent 4"/>
    <w:basedOn w:val="Tableau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3C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BC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BC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BC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BC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E78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E788" w:themeFill="accent4" w:themeFillTint="7F"/>
      </w:tcPr>
    </w:tblStylePr>
  </w:style>
  <w:style w:type="table" w:styleId="Grillemoyenne3-Accent5">
    <w:name w:val="Medium Grid 3 Accent 5"/>
    <w:basedOn w:val="Tableau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4A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4A0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4A0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4A0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4A0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A85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A859" w:themeFill="accent5" w:themeFillTint="7F"/>
      </w:tcPr>
    </w:tblStylePr>
  </w:style>
  <w:style w:type="table" w:styleId="Grillemoyenne3-Accent6">
    <w:name w:val="Medium Grid 3 Accent 6"/>
    <w:basedOn w:val="TableauNormal"/>
    <w:uiPriority w:val="69"/>
    <w:semiHidden/>
    <w:unhideWhenUsed/>
    <w:rsid w:val="00B57FC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B8B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1F2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1F2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1F2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1F2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727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727F" w:themeFill="accent6" w:themeFillTint="7F"/>
      </w:tcPr>
    </w:tblStylePr>
  </w:style>
  <w:style w:type="table" w:styleId="Listemoyenne1">
    <w:name w:val="Medium List 1"/>
    <w:basedOn w:val="TableauNormal"/>
    <w:uiPriority w:val="65"/>
    <w:semiHidden/>
    <w:unhideWhenUsed/>
    <w:rsid w:val="00B57FC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C241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B57FC7"/>
    <w:pPr>
      <w:spacing w:after="0" w:line="240" w:lineRule="auto"/>
    </w:pPr>
    <w:rPr>
      <w:color w:val="000000" w:themeColor="text1"/>
    </w:rPr>
    <w:tblPr>
      <w:tblStyleRowBandSize w:val="1"/>
      <w:tblStyleColBandSize w:val="1"/>
      <w:tblBorders>
        <w:top w:val="single" w:sz="8" w:space="0" w:color="ED4136" w:themeColor="accent1"/>
        <w:bottom w:val="single" w:sz="8" w:space="0" w:color="ED4136" w:themeColor="accent1"/>
      </w:tblBorders>
    </w:tblPr>
    <w:tblStylePr w:type="firstRow">
      <w:rPr>
        <w:rFonts w:asciiTheme="majorHAnsi" w:eastAsiaTheme="majorEastAsia" w:hAnsiTheme="majorHAnsi" w:cstheme="majorBidi"/>
      </w:rPr>
      <w:tblPr/>
      <w:tcPr>
        <w:tcBorders>
          <w:top w:val="nil"/>
          <w:bottom w:val="single" w:sz="8" w:space="0" w:color="ED4136" w:themeColor="accent1"/>
        </w:tcBorders>
      </w:tcPr>
    </w:tblStylePr>
    <w:tblStylePr w:type="lastRow">
      <w:rPr>
        <w:b/>
        <w:bCs/>
        <w:color w:val="3C2415" w:themeColor="text2"/>
      </w:rPr>
      <w:tblPr/>
      <w:tcPr>
        <w:tcBorders>
          <w:top w:val="single" w:sz="8" w:space="0" w:color="ED4136" w:themeColor="accent1"/>
          <w:bottom w:val="single" w:sz="8" w:space="0" w:color="ED4136" w:themeColor="accent1"/>
        </w:tcBorders>
      </w:tcPr>
    </w:tblStylePr>
    <w:tblStylePr w:type="firstCol">
      <w:rPr>
        <w:b/>
        <w:bCs/>
      </w:rPr>
    </w:tblStylePr>
    <w:tblStylePr w:type="lastCol">
      <w:rPr>
        <w:b/>
        <w:bCs/>
      </w:rPr>
      <w:tblPr/>
      <w:tcPr>
        <w:tcBorders>
          <w:top w:val="single" w:sz="8" w:space="0" w:color="ED4136" w:themeColor="accent1"/>
          <w:bottom w:val="single" w:sz="8" w:space="0" w:color="ED4136" w:themeColor="accent1"/>
        </w:tcBorders>
      </w:tcPr>
    </w:tblStylePr>
    <w:tblStylePr w:type="band1Vert">
      <w:tblPr/>
      <w:tcPr>
        <w:shd w:val="clear" w:color="auto" w:fill="FACFCD" w:themeFill="accent1" w:themeFillTint="3F"/>
      </w:tcPr>
    </w:tblStylePr>
    <w:tblStylePr w:type="band1Horz">
      <w:tblPr/>
      <w:tcPr>
        <w:shd w:val="clear" w:color="auto" w:fill="FACFCD" w:themeFill="accent1" w:themeFillTint="3F"/>
      </w:tcPr>
    </w:tblStylePr>
  </w:style>
  <w:style w:type="table" w:styleId="Listemoyenne1-Accent2">
    <w:name w:val="Medium List 1 Accent 2"/>
    <w:basedOn w:val="TableauNormal"/>
    <w:uiPriority w:val="65"/>
    <w:semiHidden/>
    <w:unhideWhenUsed/>
    <w:rsid w:val="00B57FC7"/>
    <w:pPr>
      <w:spacing w:after="0" w:line="240" w:lineRule="auto"/>
    </w:pPr>
    <w:rPr>
      <w:color w:val="000000" w:themeColor="text1"/>
    </w:rPr>
    <w:tblPr>
      <w:tblStyleRowBandSize w:val="1"/>
      <w:tblStyleColBandSize w:val="1"/>
      <w:tblBorders>
        <w:top w:val="single" w:sz="8" w:space="0" w:color="F5A219" w:themeColor="accent2"/>
        <w:bottom w:val="single" w:sz="8" w:space="0" w:color="F5A219" w:themeColor="accent2"/>
      </w:tblBorders>
    </w:tblPr>
    <w:tblStylePr w:type="firstRow">
      <w:rPr>
        <w:rFonts w:asciiTheme="majorHAnsi" w:eastAsiaTheme="majorEastAsia" w:hAnsiTheme="majorHAnsi" w:cstheme="majorBidi"/>
      </w:rPr>
      <w:tblPr/>
      <w:tcPr>
        <w:tcBorders>
          <w:top w:val="nil"/>
          <w:bottom w:val="single" w:sz="8" w:space="0" w:color="F5A219" w:themeColor="accent2"/>
        </w:tcBorders>
      </w:tcPr>
    </w:tblStylePr>
    <w:tblStylePr w:type="lastRow">
      <w:rPr>
        <w:b/>
        <w:bCs/>
        <w:color w:val="3C2415" w:themeColor="text2"/>
      </w:rPr>
      <w:tblPr/>
      <w:tcPr>
        <w:tcBorders>
          <w:top w:val="single" w:sz="8" w:space="0" w:color="F5A219" w:themeColor="accent2"/>
          <w:bottom w:val="single" w:sz="8" w:space="0" w:color="F5A219" w:themeColor="accent2"/>
        </w:tcBorders>
      </w:tcPr>
    </w:tblStylePr>
    <w:tblStylePr w:type="firstCol">
      <w:rPr>
        <w:b/>
        <w:bCs/>
      </w:rPr>
    </w:tblStylePr>
    <w:tblStylePr w:type="lastCol">
      <w:rPr>
        <w:b/>
        <w:bCs/>
      </w:rPr>
      <w:tblPr/>
      <w:tcPr>
        <w:tcBorders>
          <w:top w:val="single" w:sz="8" w:space="0" w:color="F5A219" w:themeColor="accent2"/>
          <w:bottom w:val="single" w:sz="8" w:space="0" w:color="F5A219" w:themeColor="accent2"/>
        </w:tcBorders>
      </w:tcPr>
    </w:tblStylePr>
    <w:tblStylePr w:type="band1Vert">
      <w:tblPr/>
      <w:tcPr>
        <w:shd w:val="clear" w:color="auto" w:fill="FCE7C6" w:themeFill="accent2" w:themeFillTint="3F"/>
      </w:tcPr>
    </w:tblStylePr>
    <w:tblStylePr w:type="band1Horz">
      <w:tblPr/>
      <w:tcPr>
        <w:shd w:val="clear" w:color="auto" w:fill="FCE7C6" w:themeFill="accent2" w:themeFillTint="3F"/>
      </w:tcPr>
    </w:tblStylePr>
  </w:style>
  <w:style w:type="table" w:styleId="Listemoyenne1-Accent3">
    <w:name w:val="Medium List 1 Accent 3"/>
    <w:basedOn w:val="TableauNormal"/>
    <w:uiPriority w:val="65"/>
    <w:semiHidden/>
    <w:unhideWhenUsed/>
    <w:rsid w:val="00B57FC7"/>
    <w:pPr>
      <w:spacing w:after="0" w:line="240" w:lineRule="auto"/>
    </w:pPr>
    <w:rPr>
      <w:color w:val="000000" w:themeColor="text1"/>
    </w:rPr>
    <w:tblPr>
      <w:tblStyleRowBandSize w:val="1"/>
      <w:tblStyleColBandSize w:val="1"/>
      <w:tblBorders>
        <w:top w:val="single" w:sz="8" w:space="0" w:color="DE5B19" w:themeColor="accent3"/>
        <w:bottom w:val="single" w:sz="8" w:space="0" w:color="DE5B19" w:themeColor="accent3"/>
      </w:tblBorders>
    </w:tblPr>
    <w:tblStylePr w:type="firstRow">
      <w:rPr>
        <w:rFonts w:asciiTheme="majorHAnsi" w:eastAsiaTheme="majorEastAsia" w:hAnsiTheme="majorHAnsi" w:cstheme="majorBidi"/>
      </w:rPr>
      <w:tblPr/>
      <w:tcPr>
        <w:tcBorders>
          <w:top w:val="nil"/>
          <w:bottom w:val="single" w:sz="8" w:space="0" w:color="DE5B19" w:themeColor="accent3"/>
        </w:tcBorders>
      </w:tcPr>
    </w:tblStylePr>
    <w:tblStylePr w:type="lastRow">
      <w:rPr>
        <w:b/>
        <w:bCs/>
        <w:color w:val="3C2415" w:themeColor="text2"/>
      </w:rPr>
      <w:tblPr/>
      <w:tcPr>
        <w:tcBorders>
          <w:top w:val="single" w:sz="8" w:space="0" w:color="DE5B19" w:themeColor="accent3"/>
          <w:bottom w:val="single" w:sz="8" w:space="0" w:color="DE5B19" w:themeColor="accent3"/>
        </w:tcBorders>
      </w:tcPr>
    </w:tblStylePr>
    <w:tblStylePr w:type="firstCol">
      <w:rPr>
        <w:b/>
        <w:bCs/>
      </w:rPr>
    </w:tblStylePr>
    <w:tblStylePr w:type="lastCol">
      <w:rPr>
        <w:b/>
        <w:bCs/>
      </w:rPr>
      <w:tblPr/>
      <w:tcPr>
        <w:tcBorders>
          <w:top w:val="single" w:sz="8" w:space="0" w:color="DE5B19" w:themeColor="accent3"/>
          <w:bottom w:val="single" w:sz="8" w:space="0" w:color="DE5B19" w:themeColor="accent3"/>
        </w:tcBorders>
      </w:tcPr>
    </w:tblStylePr>
    <w:tblStylePr w:type="band1Vert">
      <w:tblPr/>
      <w:tcPr>
        <w:shd w:val="clear" w:color="auto" w:fill="F8D5C4" w:themeFill="accent3" w:themeFillTint="3F"/>
      </w:tcPr>
    </w:tblStylePr>
    <w:tblStylePr w:type="band1Horz">
      <w:tblPr/>
      <w:tcPr>
        <w:shd w:val="clear" w:color="auto" w:fill="F8D5C4" w:themeFill="accent3" w:themeFillTint="3F"/>
      </w:tcPr>
    </w:tblStylePr>
  </w:style>
  <w:style w:type="table" w:styleId="Listemoyenne1-Accent4">
    <w:name w:val="Medium List 1 Accent 4"/>
    <w:basedOn w:val="TableauNormal"/>
    <w:uiPriority w:val="65"/>
    <w:semiHidden/>
    <w:unhideWhenUsed/>
    <w:rsid w:val="00B57FC7"/>
    <w:pPr>
      <w:spacing w:after="0" w:line="240" w:lineRule="auto"/>
    </w:pPr>
    <w:rPr>
      <w:color w:val="000000" w:themeColor="text1"/>
    </w:rPr>
    <w:tblPr>
      <w:tblStyleRowBandSize w:val="1"/>
      <w:tblStyleColBandSize w:val="1"/>
      <w:tblBorders>
        <w:top w:val="single" w:sz="8" w:space="0" w:color="ACBC25" w:themeColor="accent4"/>
        <w:bottom w:val="single" w:sz="8" w:space="0" w:color="ACBC25" w:themeColor="accent4"/>
      </w:tblBorders>
    </w:tblPr>
    <w:tblStylePr w:type="firstRow">
      <w:rPr>
        <w:rFonts w:asciiTheme="majorHAnsi" w:eastAsiaTheme="majorEastAsia" w:hAnsiTheme="majorHAnsi" w:cstheme="majorBidi"/>
      </w:rPr>
      <w:tblPr/>
      <w:tcPr>
        <w:tcBorders>
          <w:top w:val="nil"/>
          <w:bottom w:val="single" w:sz="8" w:space="0" w:color="ACBC25" w:themeColor="accent4"/>
        </w:tcBorders>
      </w:tcPr>
    </w:tblStylePr>
    <w:tblStylePr w:type="lastRow">
      <w:rPr>
        <w:b/>
        <w:bCs/>
        <w:color w:val="3C2415" w:themeColor="text2"/>
      </w:rPr>
      <w:tblPr/>
      <w:tcPr>
        <w:tcBorders>
          <w:top w:val="single" w:sz="8" w:space="0" w:color="ACBC25" w:themeColor="accent4"/>
          <w:bottom w:val="single" w:sz="8" w:space="0" w:color="ACBC25" w:themeColor="accent4"/>
        </w:tcBorders>
      </w:tcPr>
    </w:tblStylePr>
    <w:tblStylePr w:type="firstCol">
      <w:rPr>
        <w:b/>
        <w:bCs/>
      </w:rPr>
    </w:tblStylePr>
    <w:tblStylePr w:type="lastCol">
      <w:rPr>
        <w:b/>
        <w:bCs/>
      </w:rPr>
      <w:tblPr/>
      <w:tcPr>
        <w:tcBorders>
          <w:top w:val="single" w:sz="8" w:space="0" w:color="ACBC25" w:themeColor="accent4"/>
          <w:bottom w:val="single" w:sz="8" w:space="0" w:color="ACBC25" w:themeColor="accent4"/>
        </w:tcBorders>
      </w:tcPr>
    </w:tblStylePr>
    <w:tblStylePr w:type="band1Vert">
      <w:tblPr/>
      <w:tcPr>
        <w:shd w:val="clear" w:color="auto" w:fill="EEF3C3" w:themeFill="accent4" w:themeFillTint="3F"/>
      </w:tcPr>
    </w:tblStylePr>
    <w:tblStylePr w:type="band1Horz">
      <w:tblPr/>
      <w:tcPr>
        <w:shd w:val="clear" w:color="auto" w:fill="EEF3C3" w:themeFill="accent4" w:themeFillTint="3F"/>
      </w:tcPr>
    </w:tblStylePr>
  </w:style>
  <w:style w:type="table" w:styleId="Listemoyenne1-Accent5">
    <w:name w:val="Medium List 1 Accent 5"/>
    <w:basedOn w:val="TableauNormal"/>
    <w:uiPriority w:val="65"/>
    <w:semiHidden/>
    <w:unhideWhenUsed/>
    <w:rsid w:val="00B57FC7"/>
    <w:pPr>
      <w:spacing w:after="0" w:line="240" w:lineRule="auto"/>
    </w:pPr>
    <w:rPr>
      <w:color w:val="000000" w:themeColor="text1"/>
    </w:rPr>
    <w:tblPr>
      <w:tblStyleRowBandSize w:val="1"/>
      <w:tblStyleColBandSize w:val="1"/>
      <w:tblBorders>
        <w:top w:val="single" w:sz="8" w:space="0" w:color="7B4A0F" w:themeColor="accent5"/>
        <w:bottom w:val="single" w:sz="8" w:space="0" w:color="7B4A0F" w:themeColor="accent5"/>
      </w:tblBorders>
    </w:tblPr>
    <w:tblStylePr w:type="firstRow">
      <w:rPr>
        <w:rFonts w:asciiTheme="majorHAnsi" w:eastAsiaTheme="majorEastAsia" w:hAnsiTheme="majorHAnsi" w:cstheme="majorBidi"/>
      </w:rPr>
      <w:tblPr/>
      <w:tcPr>
        <w:tcBorders>
          <w:top w:val="nil"/>
          <w:bottom w:val="single" w:sz="8" w:space="0" w:color="7B4A0F" w:themeColor="accent5"/>
        </w:tcBorders>
      </w:tcPr>
    </w:tblStylePr>
    <w:tblStylePr w:type="lastRow">
      <w:rPr>
        <w:b/>
        <w:bCs/>
        <w:color w:val="3C2415" w:themeColor="text2"/>
      </w:rPr>
      <w:tblPr/>
      <w:tcPr>
        <w:tcBorders>
          <w:top w:val="single" w:sz="8" w:space="0" w:color="7B4A0F" w:themeColor="accent5"/>
          <w:bottom w:val="single" w:sz="8" w:space="0" w:color="7B4A0F" w:themeColor="accent5"/>
        </w:tcBorders>
      </w:tcPr>
    </w:tblStylePr>
    <w:tblStylePr w:type="firstCol">
      <w:rPr>
        <w:b/>
        <w:bCs/>
      </w:rPr>
    </w:tblStylePr>
    <w:tblStylePr w:type="lastCol">
      <w:rPr>
        <w:b/>
        <w:bCs/>
      </w:rPr>
      <w:tblPr/>
      <w:tcPr>
        <w:tcBorders>
          <w:top w:val="single" w:sz="8" w:space="0" w:color="7B4A0F" w:themeColor="accent5"/>
          <w:bottom w:val="single" w:sz="8" w:space="0" w:color="7B4A0F" w:themeColor="accent5"/>
        </w:tcBorders>
      </w:tcPr>
    </w:tblStylePr>
    <w:tblStylePr w:type="band1Vert">
      <w:tblPr/>
      <w:tcPr>
        <w:shd w:val="clear" w:color="auto" w:fill="F5D4AD" w:themeFill="accent5" w:themeFillTint="3F"/>
      </w:tcPr>
    </w:tblStylePr>
    <w:tblStylePr w:type="band1Horz">
      <w:tblPr/>
      <w:tcPr>
        <w:shd w:val="clear" w:color="auto" w:fill="F5D4AD" w:themeFill="accent5" w:themeFillTint="3F"/>
      </w:tcPr>
    </w:tblStylePr>
  </w:style>
  <w:style w:type="table" w:styleId="Listemoyenne1-Accent6">
    <w:name w:val="Medium List 1 Accent 6"/>
    <w:basedOn w:val="TableauNormal"/>
    <w:uiPriority w:val="65"/>
    <w:semiHidden/>
    <w:unhideWhenUsed/>
    <w:rsid w:val="00B57FC7"/>
    <w:pPr>
      <w:spacing w:after="0" w:line="240" w:lineRule="auto"/>
    </w:pPr>
    <w:rPr>
      <w:color w:val="000000" w:themeColor="text1"/>
    </w:rPr>
    <w:tblPr>
      <w:tblStyleRowBandSize w:val="1"/>
      <w:tblStyleColBandSize w:val="1"/>
      <w:tblBorders>
        <w:top w:val="single" w:sz="8" w:space="0" w:color="801F2B" w:themeColor="accent6"/>
        <w:bottom w:val="single" w:sz="8" w:space="0" w:color="801F2B" w:themeColor="accent6"/>
      </w:tblBorders>
    </w:tblPr>
    <w:tblStylePr w:type="firstRow">
      <w:rPr>
        <w:rFonts w:asciiTheme="majorHAnsi" w:eastAsiaTheme="majorEastAsia" w:hAnsiTheme="majorHAnsi" w:cstheme="majorBidi"/>
      </w:rPr>
      <w:tblPr/>
      <w:tcPr>
        <w:tcBorders>
          <w:top w:val="nil"/>
          <w:bottom w:val="single" w:sz="8" w:space="0" w:color="801F2B" w:themeColor="accent6"/>
        </w:tcBorders>
      </w:tcPr>
    </w:tblStylePr>
    <w:tblStylePr w:type="lastRow">
      <w:rPr>
        <w:b/>
        <w:bCs/>
        <w:color w:val="3C2415" w:themeColor="text2"/>
      </w:rPr>
      <w:tblPr/>
      <w:tcPr>
        <w:tcBorders>
          <w:top w:val="single" w:sz="8" w:space="0" w:color="801F2B" w:themeColor="accent6"/>
          <w:bottom w:val="single" w:sz="8" w:space="0" w:color="801F2B" w:themeColor="accent6"/>
        </w:tcBorders>
      </w:tcPr>
    </w:tblStylePr>
    <w:tblStylePr w:type="firstCol">
      <w:rPr>
        <w:b/>
        <w:bCs/>
      </w:rPr>
    </w:tblStylePr>
    <w:tblStylePr w:type="lastCol">
      <w:rPr>
        <w:b/>
        <w:bCs/>
      </w:rPr>
      <w:tblPr/>
      <w:tcPr>
        <w:tcBorders>
          <w:top w:val="single" w:sz="8" w:space="0" w:color="801F2B" w:themeColor="accent6"/>
          <w:bottom w:val="single" w:sz="8" w:space="0" w:color="801F2B" w:themeColor="accent6"/>
        </w:tcBorders>
      </w:tcPr>
    </w:tblStylePr>
    <w:tblStylePr w:type="band1Vert">
      <w:tblPr/>
      <w:tcPr>
        <w:shd w:val="clear" w:color="auto" w:fill="EEB8BF" w:themeFill="accent6" w:themeFillTint="3F"/>
      </w:tcPr>
    </w:tblStylePr>
    <w:tblStylePr w:type="band1Horz">
      <w:tblPr/>
      <w:tcPr>
        <w:shd w:val="clear" w:color="auto" w:fill="EEB8BF" w:themeFill="accent6" w:themeFillTint="3F"/>
      </w:tcPr>
    </w:tblStylePr>
  </w:style>
  <w:style w:type="table" w:styleId="Listemoyenne2">
    <w:name w:val="Medium List 2"/>
    <w:basedOn w:val="Tableau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4136" w:themeColor="accent1"/>
        <w:left w:val="single" w:sz="8" w:space="0" w:color="ED4136" w:themeColor="accent1"/>
        <w:bottom w:val="single" w:sz="8" w:space="0" w:color="ED4136" w:themeColor="accent1"/>
        <w:right w:val="single" w:sz="8" w:space="0" w:color="ED4136" w:themeColor="accent1"/>
      </w:tblBorders>
    </w:tblPr>
    <w:tblStylePr w:type="firstRow">
      <w:rPr>
        <w:sz w:val="24"/>
        <w:szCs w:val="24"/>
      </w:rPr>
      <w:tblPr/>
      <w:tcPr>
        <w:tcBorders>
          <w:top w:val="nil"/>
          <w:left w:val="nil"/>
          <w:bottom w:val="single" w:sz="24" w:space="0" w:color="ED4136"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4136" w:themeColor="accent1"/>
          <w:insideH w:val="nil"/>
          <w:insideV w:val="nil"/>
        </w:tcBorders>
        <w:shd w:val="clear" w:color="auto" w:fill="FFFFFF" w:themeFill="background1"/>
      </w:tcPr>
    </w:tblStylePr>
    <w:tblStylePr w:type="lastCol">
      <w:tblPr/>
      <w:tcPr>
        <w:tcBorders>
          <w:top w:val="nil"/>
          <w:left w:val="single" w:sz="8" w:space="0" w:color="ED413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FCD" w:themeFill="accent1" w:themeFillTint="3F"/>
      </w:tcPr>
    </w:tblStylePr>
    <w:tblStylePr w:type="band1Horz">
      <w:tblPr/>
      <w:tcPr>
        <w:tcBorders>
          <w:top w:val="nil"/>
          <w:bottom w:val="nil"/>
          <w:insideH w:val="nil"/>
          <w:insideV w:val="nil"/>
        </w:tcBorders>
        <w:shd w:val="clear" w:color="auto" w:fill="FACFC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5A219" w:themeColor="accent2"/>
        <w:left w:val="single" w:sz="8" w:space="0" w:color="F5A219" w:themeColor="accent2"/>
        <w:bottom w:val="single" w:sz="8" w:space="0" w:color="F5A219" w:themeColor="accent2"/>
        <w:right w:val="single" w:sz="8" w:space="0" w:color="F5A219" w:themeColor="accent2"/>
      </w:tblBorders>
    </w:tblPr>
    <w:tblStylePr w:type="firstRow">
      <w:rPr>
        <w:sz w:val="24"/>
        <w:szCs w:val="24"/>
      </w:rPr>
      <w:tblPr/>
      <w:tcPr>
        <w:tcBorders>
          <w:top w:val="nil"/>
          <w:left w:val="nil"/>
          <w:bottom w:val="single" w:sz="24" w:space="0" w:color="F5A21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A219" w:themeColor="accent2"/>
          <w:insideH w:val="nil"/>
          <w:insideV w:val="nil"/>
        </w:tcBorders>
        <w:shd w:val="clear" w:color="auto" w:fill="FFFFFF" w:themeFill="background1"/>
      </w:tcPr>
    </w:tblStylePr>
    <w:tblStylePr w:type="lastCol">
      <w:tblPr/>
      <w:tcPr>
        <w:tcBorders>
          <w:top w:val="nil"/>
          <w:left w:val="single" w:sz="8" w:space="0" w:color="F5A21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7C6" w:themeFill="accent2" w:themeFillTint="3F"/>
      </w:tcPr>
    </w:tblStylePr>
    <w:tblStylePr w:type="band1Horz">
      <w:tblPr/>
      <w:tcPr>
        <w:tcBorders>
          <w:top w:val="nil"/>
          <w:bottom w:val="nil"/>
          <w:insideH w:val="nil"/>
          <w:insideV w:val="nil"/>
        </w:tcBorders>
        <w:shd w:val="clear" w:color="auto" w:fill="FCE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5B19" w:themeColor="accent3"/>
        <w:left w:val="single" w:sz="8" w:space="0" w:color="DE5B19" w:themeColor="accent3"/>
        <w:bottom w:val="single" w:sz="8" w:space="0" w:color="DE5B19" w:themeColor="accent3"/>
        <w:right w:val="single" w:sz="8" w:space="0" w:color="DE5B19" w:themeColor="accent3"/>
      </w:tblBorders>
    </w:tblPr>
    <w:tblStylePr w:type="firstRow">
      <w:rPr>
        <w:sz w:val="24"/>
        <w:szCs w:val="24"/>
      </w:rPr>
      <w:tblPr/>
      <w:tcPr>
        <w:tcBorders>
          <w:top w:val="nil"/>
          <w:left w:val="nil"/>
          <w:bottom w:val="single" w:sz="24" w:space="0" w:color="DE5B1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5B19" w:themeColor="accent3"/>
          <w:insideH w:val="nil"/>
          <w:insideV w:val="nil"/>
        </w:tcBorders>
        <w:shd w:val="clear" w:color="auto" w:fill="FFFFFF" w:themeFill="background1"/>
      </w:tcPr>
    </w:tblStylePr>
    <w:tblStylePr w:type="lastCol">
      <w:tblPr/>
      <w:tcPr>
        <w:tcBorders>
          <w:top w:val="nil"/>
          <w:left w:val="single" w:sz="8" w:space="0" w:color="DE5B1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C4" w:themeFill="accent3" w:themeFillTint="3F"/>
      </w:tcPr>
    </w:tblStylePr>
    <w:tblStylePr w:type="band1Horz">
      <w:tblPr/>
      <w:tcPr>
        <w:tcBorders>
          <w:top w:val="nil"/>
          <w:bottom w:val="nil"/>
          <w:insideH w:val="nil"/>
          <w:insideV w:val="nil"/>
        </w:tcBorders>
        <w:shd w:val="clear" w:color="auto" w:fill="F8D5C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BC25" w:themeColor="accent4"/>
        <w:left w:val="single" w:sz="8" w:space="0" w:color="ACBC25" w:themeColor="accent4"/>
        <w:bottom w:val="single" w:sz="8" w:space="0" w:color="ACBC25" w:themeColor="accent4"/>
        <w:right w:val="single" w:sz="8" w:space="0" w:color="ACBC25" w:themeColor="accent4"/>
      </w:tblBorders>
    </w:tblPr>
    <w:tblStylePr w:type="firstRow">
      <w:rPr>
        <w:sz w:val="24"/>
        <w:szCs w:val="24"/>
      </w:rPr>
      <w:tblPr/>
      <w:tcPr>
        <w:tcBorders>
          <w:top w:val="nil"/>
          <w:left w:val="nil"/>
          <w:bottom w:val="single" w:sz="24" w:space="0" w:color="ACBC2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BC25" w:themeColor="accent4"/>
          <w:insideH w:val="nil"/>
          <w:insideV w:val="nil"/>
        </w:tcBorders>
        <w:shd w:val="clear" w:color="auto" w:fill="FFFFFF" w:themeFill="background1"/>
      </w:tcPr>
    </w:tblStylePr>
    <w:tblStylePr w:type="lastCol">
      <w:tblPr/>
      <w:tcPr>
        <w:tcBorders>
          <w:top w:val="nil"/>
          <w:left w:val="single" w:sz="8" w:space="0" w:color="ACBC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3C3" w:themeFill="accent4" w:themeFillTint="3F"/>
      </w:tcPr>
    </w:tblStylePr>
    <w:tblStylePr w:type="band1Horz">
      <w:tblPr/>
      <w:tcPr>
        <w:tcBorders>
          <w:top w:val="nil"/>
          <w:bottom w:val="nil"/>
          <w:insideH w:val="nil"/>
          <w:insideV w:val="nil"/>
        </w:tcBorders>
        <w:shd w:val="clear" w:color="auto" w:fill="EEF3C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4A0F" w:themeColor="accent5"/>
        <w:left w:val="single" w:sz="8" w:space="0" w:color="7B4A0F" w:themeColor="accent5"/>
        <w:bottom w:val="single" w:sz="8" w:space="0" w:color="7B4A0F" w:themeColor="accent5"/>
        <w:right w:val="single" w:sz="8" w:space="0" w:color="7B4A0F" w:themeColor="accent5"/>
      </w:tblBorders>
    </w:tblPr>
    <w:tblStylePr w:type="firstRow">
      <w:rPr>
        <w:sz w:val="24"/>
        <w:szCs w:val="24"/>
      </w:rPr>
      <w:tblPr/>
      <w:tcPr>
        <w:tcBorders>
          <w:top w:val="nil"/>
          <w:left w:val="nil"/>
          <w:bottom w:val="single" w:sz="24" w:space="0" w:color="7B4A0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4A0F" w:themeColor="accent5"/>
          <w:insideH w:val="nil"/>
          <w:insideV w:val="nil"/>
        </w:tcBorders>
        <w:shd w:val="clear" w:color="auto" w:fill="FFFFFF" w:themeFill="background1"/>
      </w:tcPr>
    </w:tblStylePr>
    <w:tblStylePr w:type="lastCol">
      <w:tblPr/>
      <w:tcPr>
        <w:tcBorders>
          <w:top w:val="nil"/>
          <w:left w:val="single" w:sz="8" w:space="0" w:color="7B4A0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4AD" w:themeFill="accent5" w:themeFillTint="3F"/>
      </w:tcPr>
    </w:tblStylePr>
    <w:tblStylePr w:type="band1Horz">
      <w:tblPr/>
      <w:tcPr>
        <w:tcBorders>
          <w:top w:val="nil"/>
          <w:bottom w:val="nil"/>
          <w:insideH w:val="nil"/>
          <w:insideV w:val="nil"/>
        </w:tcBorders>
        <w:shd w:val="clear" w:color="auto" w:fill="F5D4A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B57FC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1F2B" w:themeColor="accent6"/>
        <w:left w:val="single" w:sz="8" w:space="0" w:color="801F2B" w:themeColor="accent6"/>
        <w:bottom w:val="single" w:sz="8" w:space="0" w:color="801F2B" w:themeColor="accent6"/>
        <w:right w:val="single" w:sz="8" w:space="0" w:color="801F2B" w:themeColor="accent6"/>
      </w:tblBorders>
    </w:tblPr>
    <w:tblStylePr w:type="firstRow">
      <w:rPr>
        <w:sz w:val="24"/>
        <w:szCs w:val="24"/>
      </w:rPr>
      <w:tblPr/>
      <w:tcPr>
        <w:tcBorders>
          <w:top w:val="nil"/>
          <w:left w:val="nil"/>
          <w:bottom w:val="single" w:sz="24" w:space="0" w:color="801F2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1F2B" w:themeColor="accent6"/>
          <w:insideH w:val="nil"/>
          <w:insideV w:val="nil"/>
        </w:tcBorders>
        <w:shd w:val="clear" w:color="auto" w:fill="FFFFFF" w:themeFill="background1"/>
      </w:tcPr>
    </w:tblStylePr>
    <w:tblStylePr w:type="lastCol">
      <w:tblPr/>
      <w:tcPr>
        <w:tcBorders>
          <w:top w:val="nil"/>
          <w:left w:val="single" w:sz="8" w:space="0" w:color="801F2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8BF" w:themeFill="accent6" w:themeFillTint="3F"/>
      </w:tcPr>
    </w:tblStylePr>
    <w:tblStylePr w:type="band1Horz">
      <w:tblPr/>
      <w:tcPr>
        <w:tcBorders>
          <w:top w:val="nil"/>
          <w:bottom w:val="nil"/>
          <w:insideH w:val="nil"/>
          <w:insideV w:val="nil"/>
        </w:tcBorders>
        <w:shd w:val="clear" w:color="auto" w:fill="EEB8B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B57FC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B57FC7"/>
    <w:pPr>
      <w:spacing w:after="0" w:line="240" w:lineRule="auto"/>
    </w:pPr>
    <w:tblPr>
      <w:tblStyleRowBandSize w:val="1"/>
      <w:tblStyleColBandSize w:val="1"/>
      <w:tblBorders>
        <w:top w:val="single" w:sz="8" w:space="0" w:color="F17068" w:themeColor="accent1" w:themeTint="BF"/>
        <w:left w:val="single" w:sz="8" w:space="0" w:color="F17068" w:themeColor="accent1" w:themeTint="BF"/>
        <w:bottom w:val="single" w:sz="8" w:space="0" w:color="F17068" w:themeColor="accent1" w:themeTint="BF"/>
        <w:right w:val="single" w:sz="8" w:space="0" w:color="F17068" w:themeColor="accent1" w:themeTint="BF"/>
        <w:insideH w:val="single" w:sz="8" w:space="0" w:color="F17068" w:themeColor="accent1" w:themeTint="BF"/>
      </w:tblBorders>
    </w:tblPr>
    <w:tblStylePr w:type="firstRow">
      <w:pPr>
        <w:spacing w:before="0" w:after="0" w:line="240" w:lineRule="auto"/>
      </w:pPr>
      <w:rPr>
        <w:b/>
        <w:bCs/>
        <w:color w:val="FFFFFF" w:themeColor="background1"/>
      </w:rPr>
      <w:tblPr/>
      <w:tcPr>
        <w:tcBorders>
          <w:top w:val="single" w:sz="8" w:space="0" w:color="F17068" w:themeColor="accent1" w:themeTint="BF"/>
          <w:left w:val="single" w:sz="8" w:space="0" w:color="F17068" w:themeColor="accent1" w:themeTint="BF"/>
          <w:bottom w:val="single" w:sz="8" w:space="0" w:color="F17068" w:themeColor="accent1" w:themeTint="BF"/>
          <w:right w:val="single" w:sz="8" w:space="0" w:color="F17068" w:themeColor="accent1" w:themeTint="BF"/>
          <w:insideH w:val="nil"/>
          <w:insideV w:val="nil"/>
        </w:tcBorders>
        <w:shd w:val="clear" w:color="auto" w:fill="ED4136" w:themeFill="accent1"/>
      </w:tcPr>
    </w:tblStylePr>
    <w:tblStylePr w:type="lastRow">
      <w:pPr>
        <w:spacing w:before="0" w:after="0" w:line="240" w:lineRule="auto"/>
      </w:pPr>
      <w:rPr>
        <w:b/>
        <w:bCs/>
      </w:rPr>
      <w:tblPr/>
      <w:tcPr>
        <w:tcBorders>
          <w:top w:val="double" w:sz="6" w:space="0" w:color="F17068" w:themeColor="accent1" w:themeTint="BF"/>
          <w:left w:val="single" w:sz="8" w:space="0" w:color="F17068" w:themeColor="accent1" w:themeTint="BF"/>
          <w:bottom w:val="single" w:sz="8" w:space="0" w:color="F17068" w:themeColor="accent1" w:themeTint="BF"/>
          <w:right w:val="single" w:sz="8" w:space="0" w:color="F1706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CFCD" w:themeFill="accent1" w:themeFillTint="3F"/>
      </w:tcPr>
    </w:tblStylePr>
    <w:tblStylePr w:type="band1Horz">
      <w:tblPr/>
      <w:tcPr>
        <w:tcBorders>
          <w:insideH w:val="nil"/>
          <w:insideV w:val="nil"/>
        </w:tcBorders>
        <w:shd w:val="clear" w:color="auto" w:fill="FACFCD"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B57FC7"/>
    <w:pPr>
      <w:spacing w:after="0" w:line="240" w:lineRule="auto"/>
    </w:pPr>
    <w:tblPr>
      <w:tblStyleRowBandSize w:val="1"/>
      <w:tblStyleColBandSize w:val="1"/>
      <w:tblBorders>
        <w:top w:val="single" w:sz="8" w:space="0" w:color="F7B852" w:themeColor="accent2" w:themeTint="BF"/>
        <w:left w:val="single" w:sz="8" w:space="0" w:color="F7B852" w:themeColor="accent2" w:themeTint="BF"/>
        <w:bottom w:val="single" w:sz="8" w:space="0" w:color="F7B852" w:themeColor="accent2" w:themeTint="BF"/>
        <w:right w:val="single" w:sz="8" w:space="0" w:color="F7B852" w:themeColor="accent2" w:themeTint="BF"/>
        <w:insideH w:val="single" w:sz="8" w:space="0" w:color="F7B852" w:themeColor="accent2" w:themeTint="BF"/>
      </w:tblBorders>
    </w:tblPr>
    <w:tblStylePr w:type="firstRow">
      <w:pPr>
        <w:spacing w:before="0" w:after="0" w:line="240" w:lineRule="auto"/>
      </w:pPr>
      <w:rPr>
        <w:b/>
        <w:bCs/>
        <w:color w:val="FFFFFF" w:themeColor="background1"/>
      </w:rPr>
      <w:tblPr/>
      <w:tcPr>
        <w:tcBorders>
          <w:top w:val="single" w:sz="8" w:space="0" w:color="F7B852" w:themeColor="accent2" w:themeTint="BF"/>
          <w:left w:val="single" w:sz="8" w:space="0" w:color="F7B852" w:themeColor="accent2" w:themeTint="BF"/>
          <w:bottom w:val="single" w:sz="8" w:space="0" w:color="F7B852" w:themeColor="accent2" w:themeTint="BF"/>
          <w:right w:val="single" w:sz="8" w:space="0" w:color="F7B852" w:themeColor="accent2" w:themeTint="BF"/>
          <w:insideH w:val="nil"/>
          <w:insideV w:val="nil"/>
        </w:tcBorders>
        <w:shd w:val="clear" w:color="auto" w:fill="F5A219" w:themeFill="accent2"/>
      </w:tcPr>
    </w:tblStylePr>
    <w:tblStylePr w:type="lastRow">
      <w:pPr>
        <w:spacing w:before="0" w:after="0" w:line="240" w:lineRule="auto"/>
      </w:pPr>
      <w:rPr>
        <w:b/>
        <w:bCs/>
      </w:rPr>
      <w:tblPr/>
      <w:tcPr>
        <w:tcBorders>
          <w:top w:val="double" w:sz="6" w:space="0" w:color="F7B852" w:themeColor="accent2" w:themeTint="BF"/>
          <w:left w:val="single" w:sz="8" w:space="0" w:color="F7B852" w:themeColor="accent2" w:themeTint="BF"/>
          <w:bottom w:val="single" w:sz="8" w:space="0" w:color="F7B852" w:themeColor="accent2" w:themeTint="BF"/>
          <w:right w:val="single" w:sz="8" w:space="0" w:color="F7B8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7C6" w:themeFill="accent2" w:themeFillTint="3F"/>
      </w:tcPr>
    </w:tblStylePr>
    <w:tblStylePr w:type="band1Horz">
      <w:tblPr/>
      <w:tcPr>
        <w:tcBorders>
          <w:insideH w:val="nil"/>
          <w:insideV w:val="nil"/>
        </w:tcBorders>
        <w:shd w:val="clear" w:color="auto" w:fill="FCE7C6"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B57FC7"/>
    <w:pPr>
      <w:spacing w:after="0" w:line="240" w:lineRule="auto"/>
    </w:pPr>
    <w:tblPr>
      <w:tblStyleRowBandSize w:val="1"/>
      <w:tblStyleColBandSize w:val="1"/>
      <w:tblBorders>
        <w:top w:val="single" w:sz="8" w:space="0" w:color="EB824D" w:themeColor="accent3" w:themeTint="BF"/>
        <w:left w:val="single" w:sz="8" w:space="0" w:color="EB824D" w:themeColor="accent3" w:themeTint="BF"/>
        <w:bottom w:val="single" w:sz="8" w:space="0" w:color="EB824D" w:themeColor="accent3" w:themeTint="BF"/>
        <w:right w:val="single" w:sz="8" w:space="0" w:color="EB824D" w:themeColor="accent3" w:themeTint="BF"/>
        <w:insideH w:val="single" w:sz="8" w:space="0" w:color="EB824D" w:themeColor="accent3" w:themeTint="BF"/>
      </w:tblBorders>
    </w:tblPr>
    <w:tblStylePr w:type="firstRow">
      <w:pPr>
        <w:spacing w:before="0" w:after="0" w:line="240" w:lineRule="auto"/>
      </w:pPr>
      <w:rPr>
        <w:b/>
        <w:bCs/>
        <w:color w:val="FFFFFF" w:themeColor="background1"/>
      </w:rPr>
      <w:tblPr/>
      <w:tcPr>
        <w:tcBorders>
          <w:top w:val="single" w:sz="8" w:space="0" w:color="EB824D" w:themeColor="accent3" w:themeTint="BF"/>
          <w:left w:val="single" w:sz="8" w:space="0" w:color="EB824D" w:themeColor="accent3" w:themeTint="BF"/>
          <w:bottom w:val="single" w:sz="8" w:space="0" w:color="EB824D" w:themeColor="accent3" w:themeTint="BF"/>
          <w:right w:val="single" w:sz="8" w:space="0" w:color="EB824D" w:themeColor="accent3" w:themeTint="BF"/>
          <w:insideH w:val="nil"/>
          <w:insideV w:val="nil"/>
        </w:tcBorders>
        <w:shd w:val="clear" w:color="auto" w:fill="DE5B19" w:themeFill="accent3"/>
      </w:tcPr>
    </w:tblStylePr>
    <w:tblStylePr w:type="lastRow">
      <w:pPr>
        <w:spacing w:before="0" w:after="0" w:line="240" w:lineRule="auto"/>
      </w:pPr>
      <w:rPr>
        <w:b/>
        <w:bCs/>
      </w:rPr>
      <w:tblPr/>
      <w:tcPr>
        <w:tcBorders>
          <w:top w:val="double" w:sz="6" w:space="0" w:color="EB824D" w:themeColor="accent3" w:themeTint="BF"/>
          <w:left w:val="single" w:sz="8" w:space="0" w:color="EB824D" w:themeColor="accent3" w:themeTint="BF"/>
          <w:bottom w:val="single" w:sz="8" w:space="0" w:color="EB824D" w:themeColor="accent3" w:themeTint="BF"/>
          <w:right w:val="single" w:sz="8" w:space="0" w:color="EB824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D5C4" w:themeFill="accent3" w:themeFillTint="3F"/>
      </w:tcPr>
    </w:tblStylePr>
    <w:tblStylePr w:type="band1Horz">
      <w:tblPr/>
      <w:tcPr>
        <w:tcBorders>
          <w:insideH w:val="nil"/>
          <w:insideV w:val="nil"/>
        </w:tcBorders>
        <w:shd w:val="clear" w:color="auto" w:fill="F8D5C4"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B57FC7"/>
    <w:pPr>
      <w:spacing w:after="0" w:line="240" w:lineRule="auto"/>
    </w:pPr>
    <w:tblPr>
      <w:tblStyleRowBandSize w:val="1"/>
      <w:tblStyleColBandSize w:val="1"/>
      <w:tblBorders>
        <w:top w:val="single" w:sz="8" w:space="0" w:color="CCDB4C" w:themeColor="accent4" w:themeTint="BF"/>
        <w:left w:val="single" w:sz="8" w:space="0" w:color="CCDB4C" w:themeColor="accent4" w:themeTint="BF"/>
        <w:bottom w:val="single" w:sz="8" w:space="0" w:color="CCDB4C" w:themeColor="accent4" w:themeTint="BF"/>
        <w:right w:val="single" w:sz="8" w:space="0" w:color="CCDB4C" w:themeColor="accent4" w:themeTint="BF"/>
        <w:insideH w:val="single" w:sz="8" w:space="0" w:color="CCDB4C" w:themeColor="accent4" w:themeTint="BF"/>
      </w:tblBorders>
    </w:tblPr>
    <w:tblStylePr w:type="firstRow">
      <w:pPr>
        <w:spacing w:before="0" w:after="0" w:line="240" w:lineRule="auto"/>
      </w:pPr>
      <w:rPr>
        <w:b/>
        <w:bCs/>
        <w:color w:val="FFFFFF" w:themeColor="background1"/>
      </w:rPr>
      <w:tblPr/>
      <w:tcPr>
        <w:tcBorders>
          <w:top w:val="single" w:sz="8" w:space="0" w:color="CCDB4C" w:themeColor="accent4" w:themeTint="BF"/>
          <w:left w:val="single" w:sz="8" w:space="0" w:color="CCDB4C" w:themeColor="accent4" w:themeTint="BF"/>
          <w:bottom w:val="single" w:sz="8" w:space="0" w:color="CCDB4C" w:themeColor="accent4" w:themeTint="BF"/>
          <w:right w:val="single" w:sz="8" w:space="0" w:color="CCDB4C" w:themeColor="accent4" w:themeTint="BF"/>
          <w:insideH w:val="nil"/>
          <w:insideV w:val="nil"/>
        </w:tcBorders>
        <w:shd w:val="clear" w:color="auto" w:fill="ACBC25" w:themeFill="accent4"/>
      </w:tcPr>
    </w:tblStylePr>
    <w:tblStylePr w:type="lastRow">
      <w:pPr>
        <w:spacing w:before="0" w:after="0" w:line="240" w:lineRule="auto"/>
      </w:pPr>
      <w:rPr>
        <w:b/>
        <w:bCs/>
      </w:rPr>
      <w:tblPr/>
      <w:tcPr>
        <w:tcBorders>
          <w:top w:val="double" w:sz="6" w:space="0" w:color="CCDB4C" w:themeColor="accent4" w:themeTint="BF"/>
          <w:left w:val="single" w:sz="8" w:space="0" w:color="CCDB4C" w:themeColor="accent4" w:themeTint="BF"/>
          <w:bottom w:val="single" w:sz="8" w:space="0" w:color="CCDB4C" w:themeColor="accent4" w:themeTint="BF"/>
          <w:right w:val="single" w:sz="8" w:space="0" w:color="CCDB4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EF3C3" w:themeFill="accent4" w:themeFillTint="3F"/>
      </w:tcPr>
    </w:tblStylePr>
    <w:tblStylePr w:type="band1Horz">
      <w:tblPr/>
      <w:tcPr>
        <w:tcBorders>
          <w:insideH w:val="nil"/>
          <w:insideV w:val="nil"/>
        </w:tcBorders>
        <w:shd w:val="clear" w:color="auto" w:fill="EEF3C3"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B57FC7"/>
    <w:pPr>
      <w:spacing w:after="0" w:line="240" w:lineRule="auto"/>
    </w:pPr>
    <w:tblPr>
      <w:tblStyleRowBandSize w:val="1"/>
      <w:tblStyleColBandSize w:val="1"/>
      <w:tblBorders>
        <w:top w:val="single" w:sz="8" w:space="0" w:color="CE7B19" w:themeColor="accent5" w:themeTint="BF"/>
        <w:left w:val="single" w:sz="8" w:space="0" w:color="CE7B19" w:themeColor="accent5" w:themeTint="BF"/>
        <w:bottom w:val="single" w:sz="8" w:space="0" w:color="CE7B19" w:themeColor="accent5" w:themeTint="BF"/>
        <w:right w:val="single" w:sz="8" w:space="0" w:color="CE7B19" w:themeColor="accent5" w:themeTint="BF"/>
        <w:insideH w:val="single" w:sz="8" w:space="0" w:color="CE7B19" w:themeColor="accent5" w:themeTint="BF"/>
      </w:tblBorders>
    </w:tblPr>
    <w:tblStylePr w:type="firstRow">
      <w:pPr>
        <w:spacing w:before="0" w:after="0" w:line="240" w:lineRule="auto"/>
      </w:pPr>
      <w:rPr>
        <w:b/>
        <w:bCs/>
        <w:color w:val="FFFFFF" w:themeColor="background1"/>
      </w:rPr>
      <w:tblPr/>
      <w:tcPr>
        <w:tcBorders>
          <w:top w:val="single" w:sz="8" w:space="0" w:color="CE7B19" w:themeColor="accent5" w:themeTint="BF"/>
          <w:left w:val="single" w:sz="8" w:space="0" w:color="CE7B19" w:themeColor="accent5" w:themeTint="BF"/>
          <w:bottom w:val="single" w:sz="8" w:space="0" w:color="CE7B19" w:themeColor="accent5" w:themeTint="BF"/>
          <w:right w:val="single" w:sz="8" w:space="0" w:color="CE7B19" w:themeColor="accent5" w:themeTint="BF"/>
          <w:insideH w:val="nil"/>
          <w:insideV w:val="nil"/>
        </w:tcBorders>
        <w:shd w:val="clear" w:color="auto" w:fill="7B4A0F" w:themeFill="accent5"/>
      </w:tcPr>
    </w:tblStylePr>
    <w:tblStylePr w:type="lastRow">
      <w:pPr>
        <w:spacing w:before="0" w:after="0" w:line="240" w:lineRule="auto"/>
      </w:pPr>
      <w:rPr>
        <w:b/>
        <w:bCs/>
      </w:rPr>
      <w:tblPr/>
      <w:tcPr>
        <w:tcBorders>
          <w:top w:val="double" w:sz="6" w:space="0" w:color="CE7B19" w:themeColor="accent5" w:themeTint="BF"/>
          <w:left w:val="single" w:sz="8" w:space="0" w:color="CE7B19" w:themeColor="accent5" w:themeTint="BF"/>
          <w:bottom w:val="single" w:sz="8" w:space="0" w:color="CE7B19" w:themeColor="accent5" w:themeTint="BF"/>
          <w:right w:val="single" w:sz="8" w:space="0" w:color="CE7B1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4AD" w:themeFill="accent5" w:themeFillTint="3F"/>
      </w:tcPr>
    </w:tblStylePr>
    <w:tblStylePr w:type="band1Horz">
      <w:tblPr/>
      <w:tcPr>
        <w:tcBorders>
          <w:insideH w:val="nil"/>
          <w:insideV w:val="nil"/>
        </w:tcBorders>
        <w:shd w:val="clear" w:color="auto" w:fill="F5D4AD"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B57FC7"/>
    <w:pPr>
      <w:spacing w:after="0" w:line="240" w:lineRule="auto"/>
    </w:pPr>
    <w:tblPr>
      <w:tblStyleRowBandSize w:val="1"/>
      <w:tblStyleColBandSize w:val="1"/>
      <w:tblBorders>
        <w:top w:val="single" w:sz="8" w:space="0" w:color="C63042" w:themeColor="accent6" w:themeTint="BF"/>
        <w:left w:val="single" w:sz="8" w:space="0" w:color="C63042" w:themeColor="accent6" w:themeTint="BF"/>
        <w:bottom w:val="single" w:sz="8" w:space="0" w:color="C63042" w:themeColor="accent6" w:themeTint="BF"/>
        <w:right w:val="single" w:sz="8" w:space="0" w:color="C63042" w:themeColor="accent6" w:themeTint="BF"/>
        <w:insideH w:val="single" w:sz="8" w:space="0" w:color="C63042" w:themeColor="accent6" w:themeTint="BF"/>
      </w:tblBorders>
    </w:tblPr>
    <w:tblStylePr w:type="firstRow">
      <w:pPr>
        <w:spacing w:before="0" w:after="0" w:line="240" w:lineRule="auto"/>
      </w:pPr>
      <w:rPr>
        <w:b/>
        <w:bCs/>
        <w:color w:val="FFFFFF" w:themeColor="background1"/>
      </w:rPr>
      <w:tblPr/>
      <w:tcPr>
        <w:tcBorders>
          <w:top w:val="single" w:sz="8" w:space="0" w:color="C63042" w:themeColor="accent6" w:themeTint="BF"/>
          <w:left w:val="single" w:sz="8" w:space="0" w:color="C63042" w:themeColor="accent6" w:themeTint="BF"/>
          <w:bottom w:val="single" w:sz="8" w:space="0" w:color="C63042" w:themeColor="accent6" w:themeTint="BF"/>
          <w:right w:val="single" w:sz="8" w:space="0" w:color="C63042" w:themeColor="accent6" w:themeTint="BF"/>
          <w:insideH w:val="nil"/>
          <w:insideV w:val="nil"/>
        </w:tcBorders>
        <w:shd w:val="clear" w:color="auto" w:fill="801F2B" w:themeFill="accent6"/>
      </w:tcPr>
    </w:tblStylePr>
    <w:tblStylePr w:type="lastRow">
      <w:pPr>
        <w:spacing w:before="0" w:after="0" w:line="240" w:lineRule="auto"/>
      </w:pPr>
      <w:rPr>
        <w:b/>
        <w:bCs/>
      </w:rPr>
      <w:tblPr/>
      <w:tcPr>
        <w:tcBorders>
          <w:top w:val="double" w:sz="6" w:space="0" w:color="C63042" w:themeColor="accent6" w:themeTint="BF"/>
          <w:left w:val="single" w:sz="8" w:space="0" w:color="C63042" w:themeColor="accent6" w:themeTint="BF"/>
          <w:bottom w:val="single" w:sz="8" w:space="0" w:color="C63042" w:themeColor="accent6" w:themeTint="BF"/>
          <w:right w:val="single" w:sz="8" w:space="0" w:color="C6304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EB8BF" w:themeFill="accent6" w:themeFillTint="3F"/>
      </w:tcPr>
    </w:tblStylePr>
    <w:tblStylePr w:type="band1Horz">
      <w:tblPr/>
      <w:tcPr>
        <w:tcBorders>
          <w:insideH w:val="nil"/>
          <w:insideV w:val="nil"/>
        </w:tcBorders>
        <w:shd w:val="clear" w:color="auto" w:fill="EEB8BF"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413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4136" w:themeFill="accent1"/>
      </w:tcPr>
    </w:tblStylePr>
    <w:tblStylePr w:type="lastCol">
      <w:rPr>
        <w:b/>
        <w:bCs/>
        <w:color w:val="FFFFFF" w:themeColor="background1"/>
      </w:rPr>
      <w:tblPr/>
      <w:tcPr>
        <w:tcBorders>
          <w:left w:val="nil"/>
          <w:right w:val="nil"/>
          <w:insideH w:val="nil"/>
          <w:insideV w:val="nil"/>
        </w:tcBorders>
        <w:shd w:val="clear" w:color="auto" w:fill="ED413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A21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5A219" w:themeFill="accent2"/>
      </w:tcPr>
    </w:tblStylePr>
    <w:tblStylePr w:type="lastCol">
      <w:rPr>
        <w:b/>
        <w:bCs/>
        <w:color w:val="FFFFFF" w:themeColor="background1"/>
      </w:rPr>
      <w:tblPr/>
      <w:tcPr>
        <w:tcBorders>
          <w:left w:val="nil"/>
          <w:right w:val="nil"/>
          <w:insideH w:val="nil"/>
          <w:insideV w:val="nil"/>
        </w:tcBorders>
        <w:shd w:val="clear" w:color="auto" w:fill="F5A21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5B1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5B19" w:themeFill="accent3"/>
      </w:tcPr>
    </w:tblStylePr>
    <w:tblStylePr w:type="lastCol">
      <w:rPr>
        <w:b/>
        <w:bCs/>
        <w:color w:val="FFFFFF" w:themeColor="background1"/>
      </w:rPr>
      <w:tblPr/>
      <w:tcPr>
        <w:tcBorders>
          <w:left w:val="nil"/>
          <w:right w:val="nil"/>
          <w:insideH w:val="nil"/>
          <w:insideV w:val="nil"/>
        </w:tcBorders>
        <w:shd w:val="clear" w:color="auto" w:fill="DE5B1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BC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CBC25" w:themeFill="accent4"/>
      </w:tcPr>
    </w:tblStylePr>
    <w:tblStylePr w:type="lastCol">
      <w:rPr>
        <w:b/>
        <w:bCs/>
        <w:color w:val="FFFFFF" w:themeColor="background1"/>
      </w:rPr>
      <w:tblPr/>
      <w:tcPr>
        <w:tcBorders>
          <w:left w:val="nil"/>
          <w:right w:val="nil"/>
          <w:insideH w:val="nil"/>
          <w:insideV w:val="nil"/>
        </w:tcBorders>
        <w:shd w:val="clear" w:color="auto" w:fill="ACBC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4A0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B4A0F" w:themeFill="accent5"/>
      </w:tcPr>
    </w:tblStylePr>
    <w:tblStylePr w:type="lastCol">
      <w:rPr>
        <w:b/>
        <w:bCs/>
        <w:color w:val="FFFFFF" w:themeColor="background1"/>
      </w:rPr>
      <w:tblPr/>
      <w:tcPr>
        <w:tcBorders>
          <w:left w:val="nil"/>
          <w:right w:val="nil"/>
          <w:insideH w:val="nil"/>
          <w:insideV w:val="nil"/>
        </w:tcBorders>
        <w:shd w:val="clear" w:color="auto" w:fill="7B4A0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B57FC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1F2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1F2B" w:themeFill="accent6"/>
      </w:tcPr>
    </w:tblStylePr>
    <w:tblStylePr w:type="lastCol">
      <w:rPr>
        <w:b/>
        <w:bCs/>
        <w:color w:val="FFFFFF" w:themeColor="background1"/>
      </w:rPr>
      <w:tblPr/>
      <w:tcPr>
        <w:tcBorders>
          <w:left w:val="nil"/>
          <w:right w:val="nil"/>
          <w:insideH w:val="nil"/>
          <w:insideV w:val="nil"/>
        </w:tcBorders>
        <w:shd w:val="clear" w:color="auto" w:fill="801F2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En-ttedemessage">
    <w:name w:val="Message Header"/>
    <w:basedOn w:val="Normal"/>
    <w:link w:val="En-ttedemessageCar"/>
    <w:uiPriority w:val="99"/>
    <w:semiHidden/>
    <w:unhideWhenUsed/>
    <w:rsid w:val="00B57FC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B57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B57FC7"/>
    <w:rPr>
      <w:rFonts w:ascii="Times New Roman" w:hAnsi="Times New Roman" w:cs="Times New Roman"/>
      <w:sz w:val="24"/>
      <w:szCs w:val="24"/>
    </w:rPr>
  </w:style>
  <w:style w:type="paragraph" w:styleId="Retraitnormal">
    <w:name w:val="Normal Indent"/>
    <w:basedOn w:val="Normal"/>
    <w:uiPriority w:val="99"/>
    <w:semiHidden/>
    <w:unhideWhenUsed/>
    <w:rsid w:val="00B57FC7"/>
    <w:pPr>
      <w:ind w:left="720"/>
    </w:pPr>
  </w:style>
  <w:style w:type="paragraph" w:styleId="Titredenote">
    <w:name w:val="Note Heading"/>
    <w:basedOn w:val="Normal"/>
    <w:next w:val="Normal"/>
    <w:link w:val="TitredenoteCar"/>
    <w:uiPriority w:val="99"/>
    <w:semiHidden/>
    <w:unhideWhenUsed/>
    <w:rsid w:val="00B57FC7"/>
    <w:pPr>
      <w:spacing w:after="0" w:line="240" w:lineRule="auto"/>
    </w:pPr>
  </w:style>
  <w:style w:type="character" w:customStyle="1" w:styleId="TitredenoteCar">
    <w:name w:val="Titre de note Car"/>
    <w:basedOn w:val="Policepardfaut"/>
    <w:link w:val="Titredenote"/>
    <w:uiPriority w:val="99"/>
    <w:semiHidden/>
    <w:rsid w:val="00B57FC7"/>
  </w:style>
  <w:style w:type="character" w:styleId="Numrodepage">
    <w:name w:val="page number"/>
    <w:basedOn w:val="Policepardfaut"/>
    <w:uiPriority w:val="99"/>
    <w:semiHidden/>
    <w:unhideWhenUsed/>
    <w:rsid w:val="00B57FC7"/>
  </w:style>
  <w:style w:type="table" w:styleId="Tableausimple1">
    <w:name w:val="Plain Table 1"/>
    <w:basedOn w:val="TableauNormal"/>
    <w:uiPriority w:val="41"/>
    <w:rsid w:val="00B57F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B57FC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B57F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B57FC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B57FC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B57FC7"/>
    <w:pPr>
      <w:spacing w:after="0" w:line="240" w:lineRule="auto"/>
    </w:pPr>
    <w:rPr>
      <w:rFonts w:ascii="Consolas" w:hAnsi="Consolas"/>
      <w:sz w:val="22"/>
      <w:szCs w:val="21"/>
    </w:rPr>
  </w:style>
  <w:style w:type="character" w:customStyle="1" w:styleId="TextebrutCar">
    <w:name w:val="Texte brut Car"/>
    <w:basedOn w:val="Policepardfaut"/>
    <w:link w:val="Textebrut"/>
    <w:uiPriority w:val="99"/>
    <w:semiHidden/>
    <w:rsid w:val="00B57FC7"/>
    <w:rPr>
      <w:rFonts w:ascii="Consolas" w:hAnsi="Consolas"/>
      <w:sz w:val="22"/>
      <w:szCs w:val="21"/>
    </w:rPr>
  </w:style>
  <w:style w:type="paragraph" w:styleId="Citation">
    <w:name w:val="Quote"/>
    <w:basedOn w:val="Normal"/>
    <w:next w:val="Normal"/>
    <w:link w:val="CitationCar"/>
    <w:uiPriority w:val="29"/>
    <w:semiHidden/>
    <w:unhideWhenUsed/>
    <w:qFormat/>
    <w:rsid w:val="00A918B2"/>
    <w:pPr>
      <w:spacing w:before="200"/>
      <w:jc w:val="center"/>
    </w:pPr>
    <w:rPr>
      <w:i/>
      <w:iCs/>
      <w:color w:val="404040" w:themeColor="text1" w:themeTint="BF"/>
    </w:rPr>
  </w:style>
  <w:style w:type="character" w:customStyle="1" w:styleId="CitationCar">
    <w:name w:val="Citation Car"/>
    <w:basedOn w:val="Policepardfaut"/>
    <w:link w:val="Citation"/>
    <w:uiPriority w:val="29"/>
    <w:semiHidden/>
    <w:rsid w:val="00A918B2"/>
    <w:rPr>
      <w:i/>
      <w:iCs/>
      <w:color w:val="404040" w:themeColor="text1" w:themeTint="BF"/>
    </w:rPr>
  </w:style>
  <w:style w:type="paragraph" w:styleId="Salutations">
    <w:name w:val="Salutation"/>
    <w:basedOn w:val="Normal"/>
    <w:next w:val="Normal"/>
    <w:link w:val="SalutationsCar"/>
    <w:uiPriority w:val="99"/>
    <w:semiHidden/>
    <w:unhideWhenUsed/>
    <w:rsid w:val="00B57FC7"/>
  </w:style>
  <w:style w:type="character" w:customStyle="1" w:styleId="SalutationsCar">
    <w:name w:val="Salutations Car"/>
    <w:basedOn w:val="Policepardfaut"/>
    <w:link w:val="Salutations"/>
    <w:uiPriority w:val="99"/>
    <w:semiHidden/>
    <w:rsid w:val="00B57FC7"/>
  </w:style>
  <w:style w:type="paragraph" w:styleId="Signature">
    <w:name w:val="Signature"/>
    <w:basedOn w:val="Normal"/>
    <w:link w:val="SignatureCar"/>
    <w:uiPriority w:val="99"/>
    <w:semiHidden/>
    <w:unhideWhenUsed/>
    <w:rsid w:val="00B57FC7"/>
    <w:pPr>
      <w:spacing w:after="0" w:line="240" w:lineRule="auto"/>
      <w:ind w:left="4320"/>
    </w:pPr>
  </w:style>
  <w:style w:type="character" w:customStyle="1" w:styleId="SignatureCar">
    <w:name w:val="Signature Car"/>
    <w:basedOn w:val="Policepardfaut"/>
    <w:link w:val="Signature"/>
    <w:uiPriority w:val="99"/>
    <w:semiHidden/>
    <w:rsid w:val="00B57FC7"/>
  </w:style>
  <w:style w:type="character" w:styleId="lev">
    <w:name w:val="Strong"/>
    <w:basedOn w:val="Policepardfaut"/>
    <w:uiPriority w:val="22"/>
    <w:semiHidden/>
    <w:unhideWhenUsed/>
    <w:qFormat/>
    <w:rsid w:val="00B57FC7"/>
    <w:rPr>
      <w:b/>
      <w:bCs/>
    </w:rPr>
  </w:style>
  <w:style w:type="character" w:styleId="Accentuationlgre">
    <w:name w:val="Subtle Emphasis"/>
    <w:basedOn w:val="Policepardfaut"/>
    <w:uiPriority w:val="19"/>
    <w:semiHidden/>
    <w:unhideWhenUsed/>
    <w:qFormat/>
    <w:rsid w:val="00B57FC7"/>
    <w:rPr>
      <w:i/>
      <w:iCs/>
      <w:color w:val="404040" w:themeColor="text1" w:themeTint="BF"/>
    </w:rPr>
  </w:style>
  <w:style w:type="character" w:styleId="Rfrencelgre">
    <w:name w:val="Subtle Reference"/>
    <w:basedOn w:val="Policepardfaut"/>
    <w:uiPriority w:val="31"/>
    <w:semiHidden/>
    <w:unhideWhenUsed/>
    <w:qFormat/>
    <w:rsid w:val="00B57FC7"/>
    <w:rPr>
      <w:smallCaps/>
      <w:color w:val="5A5A5A" w:themeColor="text1" w:themeTint="A5"/>
    </w:rPr>
  </w:style>
  <w:style w:type="table" w:styleId="Effetsdetableau3D1">
    <w:name w:val="Table 3D effects 1"/>
    <w:basedOn w:val="TableauNormal"/>
    <w:uiPriority w:val="99"/>
    <w:semiHidden/>
    <w:unhideWhenUsed/>
    <w:rsid w:val="00B57FC7"/>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B57FC7"/>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B57FC7"/>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B57FC7"/>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B57FC7"/>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B57FC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B57FC7"/>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B57FC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B57FC7"/>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B57FC7"/>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B57FC7"/>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B57FC7"/>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B57FC7"/>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B57FC7"/>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B57FC7"/>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B57FC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B57FC7"/>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B57FC7"/>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B57FC7"/>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B57FC7"/>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B57FC7"/>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B57FC7"/>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B57FC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B57FC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B57FC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B57FC7"/>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B57FC7"/>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B57FC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B57FC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B57FC7"/>
    <w:pPr>
      <w:spacing w:after="0"/>
      <w:ind w:left="260" w:hanging="260"/>
    </w:pPr>
  </w:style>
  <w:style w:type="paragraph" w:styleId="Tabledesillustrations">
    <w:name w:val="table of figures"/>
    <w:basedOn w:val="Normal"/>
    <w:next w:val="Normal"/>
    <w:uiPriority w:val="99"/>
    <w:semiHidden/>
    <w:unhideWhenUsed/>
    <w:rsid w:val="00B57FC7"/>
    <w:pPr>
      <w:spacing w:after="0"/>
    </w:pPr>
  </w:style>
  <w:style w:type="table" w:styleId="Tableauprofessionnel">
    <w:name w:val="Table Professional"/>
    <w:basedOn w:val="TableauNormal"/>
    <w:uiPriority w:val="99"/>
    <w:semiHidden/>
    <w:unhideWhenUsed/>
    <w:rsid w:val="00B57FC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B57FC7"/>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B57FC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B57FC7"/>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B57FC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B57FC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B57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B57FC7"/>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B57FC7"/>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B57FC7"/>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B57FC7"/>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unhideWhenUsed/>
    <w:rsid w:val="00B57FC7"/>
    <w:pPr>
      <w:spacing w:before="360" w:after="0"/>
    </w:pPr>
    <w:rPr>
      <w:rFonts w:asciiTheme="majorHAnsi" w:hAnsiTheme="majorHAnsi" w:cstheme="majorHAnsi"/>
      <w:b/>
      <w:bCs/>
      <w:caps/>
      <w:sz w:val="24"/>
      <w:szCs w:val="24"/>
    </w:rPr>
  </w:style>
  <w:style w:type="paragraph" w:styleId="TM2">
    <w:name w:val="toc 2"/>
    <w:basedOn w:val="Normal"/>
    <w:next w:val="Normal"/>
    <w:autoRedefine/>
    <w:uiPriority w:val="39"/>
    <w:unhideWhenUsed/>
    <w:rsid w:val="00B57FC7"/>
    <w:pPr>
      <w:spacing w:before="240" w:after="0"/>
    </w:pPr>
    <w:rPr>
      <w:rFonts w:cstheme="minorHAnsi"/>
      <w:b/>
      <w:bCs/>
      <w:sz w:val="20"/>
      <w:szCs w:val="20"/>
    </w:rPr>
  </w:style>
  <w:style w:type="paragraph" w:styleId="TM3">
    <w:name w:val="toc 3"/>
    <w:basedOn w:val="Normal"/>
    <w:next w:val="Normal"/>
    <w:autoRedefine/>
    <w:uiPriority w:val="39"/>
    <w:unhideWhenUsed/>
    <w:rsid w:val="00B57FC7"/>
    <w:pPr>
      <w:spacing w:after="0"/>
      <w:ind w:left="180"/>
    </w:pPr>
    <w:rPr>
      <w:rFonts w:cstheme="minorHAnsi"/>
      <w:sz w:val="20"/>
      <w:szCs w:val="20"/>
    </w:rPr>
  </w:style>
  <w:style w:type="paragraph" w:styleId="TM4">
    <w:name w:val="toc 4"/>
    <w:basedOn w:val="Normal"/>
    <w:next w:val="Normal"/>
    <w:autoRedefine/>
    <w:uiPriority w:val="39"/>
    <w:unhideWhenUsed/>
    <w:rsid w:val="00B57FC7"/>
    <w:pPr>
      <w:spacing w:after="0"/>
      <w:ind w:left="360"/>
    </w:pPr>
    <w:rPr>
      <w:rFonts w:cstheme="minorHAnsi"/>
      <w:sz w:val="20"/>
      <w:szCs w:val="20"/>
    </w:rPr>
  </w:style>
  <w:style w:type="paragraph" w:styleId="TM5">
    <w:name w:val="toc 5"/>
    <w:basedOn w:val="Normal"/>
    <w:next w:val="Normal"/>
    <w:autoRedefine/>
    <w:uiPriority w:val="39"/>
    <w:unhideWhenUsed/>
    <w:rsid w:val="00B57FC7"/>
    <w:pPr>
      <w:spacing w:after="0"/>
      <w:ind w:left="540"/>
    </w:pPr>
    <w:rPr>
      <w:rFonts w:cstheme="minorHAnsi"/>
      <w:sz w:val="20"/>
      <w:szCs w:val="20"/>
    </w:rPr>
  </w:style>
  <w:style w:type="paragraph" w:styleId="TM6">
    <w:name w:val="toc 6"/>
    <w:basedOn w:val="Normal"/>
    <w:next w:val="Normal"/>
    <w:autoRedefine/>
    <w:uiPriority w:val="39"/>
    <w:unhideWhenUsed/>
    <w:rsid w:val="00B57FC7"/>
    <w:pPr>
      <w:spacing w:after="0"/>
      <w:ind w:left="720"/>
    </w:pPr>
    <w:rPr>
      <w:rFonts w:cstheme="minorHAnsi"/>
      <w:sz w:val="20"/>
      <w:szCs w:val="20"/>
    </w:rPr>
  </w:style>
  <w:style w:type="paragraph" w:styleId="TM7">
    <w:name w:val="toc 7"/>
    <w:basedOn w:val="Normal"/>
    <w:next w:val="Normal"/>
    <w:autoRedefine/>
    <w:uiPriority w:val="39"/>
    <w:unhideWhenUsed/>
    <w:rsid w:val="00B57FC7"/>
    <w:pPr>
      <w:spacing w:after="0"/>
      <w:ind w:left="900"/>
    </w:pPr>
    <w:rPr>
      <w:rFonts w:cstheme="minorHAnsi"/>
      <w:sz w:val="20"/>
      <w:szCs w:val="20"/>
    </w:rPr>
  </w:style>
  <w:style w:type="paragraph" w:styleId="TM8">
    <w:name w:val="toc 8"/>
    <w:basedOn w:val="Normal"/>
    <w:next w:val="Normal"/>
    <w:autoRedefine/>
    <w:uiPriority w:val="39"/>
    <w:unhideWhenUsed/>
    <w:rsid w:val="00B57FC7"/>
    <w:pPr>
      <w:spacing w:after="0"/>
      <w:ind w:left="1080"/>
    </w:pPr>
    <w:rPr>
      <w:rFonts w:cstheme="minorHAnsi"/>
      <w:sz w:val="20"/>
      <w:szCs w:val="20"/>
    </w:rPr>
  </w:style>
  <w:style w:type="paragraph" w:styleId="TM9">
    <w:name w:val="toc 9"/>
    <w:basedOn w:val="Normal"/>
    <w:next w:val="Normal"/>
    <w:autoRedefine/>
    <w:uiPriority w:val="39"/>
    <w:unhideWhenUsed/>
    <w:rsid w:val="00B57FC7"/>
    <w:pPr>
      <w:spacing w:after="0"/>
      <w:ind w:left="1260"/>
    </w:pPr>
    <w:rPr>
      <w:rFonts w:cstheme="minorHAnsi"/>
      <w:sz w:val="20"/>
      <w:szCs w:val="20"/>
    </w:rPr>
  </w:style>
  <w:style w:type="paragraph" w:styleId="En-ttedetabledesmatires">
    <w:name w:val="TOC Heading"/>
    <w:basedOn w:val="Titre1"/>
    <w:next w:val="Normal"/>
    <w:uiPriority w:val="39"/>
    <w:unhideWhenUsed/>
    <w:qFormat/>
    <w:rsid w:val="009A6FDF"/>
    <w:pPr>
      <w:outlineLvl w:val="9"/>
    </w:pPr>
    <w:rPr>
      <w:rFonts w:eastAsiaTheme="majorEastAsia" w:cstheme="majorBidi"/>
      <w:bCs w:val="0"/>
      <w:szCs w:val="32"/>
    </w:rPr>
  </w:style>
  <w:style w:type="paragraph" w:customStyle="1" w:styleId="Style3">
    <w:name w:val="Style3"/>
    <w:basedOn w:val="Titre1"/>
    <w:link w:val="Style3Car"/>
    <w:qFormat/>
    <w:rsid w:val="00CE292C"/>
    <w:pPr>
      <w:ind w:left="720"/>
    </w:pPr>
    <w:rPr>
      <w:rFonts w:ascii="Yu Gothic UI Semibold" w:hAnsi="Yu Gothic UI Semibold"/>
      <w:b w:val="0"/>
      <w:i/>
      <w:color w:val="auto"/>
      <w:sz w:val="32"/>
    </w:rPr>
  </w:style>
  <w:style w:type="paragraph" w:customStyle="1" w:styleId="Style2">
    <w:name w:val="Style2"/>
    <w:basedOn w:val="Titre4"/>
    <w:qFormat/>
    <w:rsid w:val="00CE292C"/>
    <w:pPr>
      <w:numPr>
        <w:ilvl w:val="1"/>
        <w:numId w:val="74"/>
      </w:numPr>
    </w:pPr>
    <w:rPr>
      <w:rFonts w:ascii="PMingLiU-ExtB" w:hAnsi="PMingLiU-ExtB"/>
      <w:b/>
      <w:sz w:val="30"/>
      <w:u w:val="single"/>
    </w:rPr>
  </w:style>
  <w:style w:type="character" w:customStyle="1" w:styleId="Style3Car">
    <w:name w:val="Style3 Car"/>
    <w:basedOn w:val="Titre1Car"/>
    <w:link w:val="Style3"/>
    <w:rsid w:val="00CE292C"/>
    <w:rPr>
      <w:rFonts w:ascii="Yu Gothic UI Semibold" w:hAnsi="Yu Gothic UI Semibold"/>
      <w:b w:val="0"/>
      <w:bCs/>
      <w:i/>
      <w:color w:val="auto"/>
      <w:sz w:val="32"/>
      <w:szCs w:val="3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4615">
      <w:bodyDiv w:val="1"/>
      <w:marLeft w:val="0"/>
      <w:marRight w:val="0"/>
      <w:marTop w:val="0"/>
      <w:marBottom w:val="0"/>
      <w:divBdr>
        <w:top w:val="none" w:sz="0" w:space="0" w:color="auto"/>
        <w:left w:val="none" w:sz="0" w:space="0" w:color="auto"/>
        <w:bottom w:val="none" w:sz="0" w:space="0" w:color="auto"/>
        <w:right w:val="none" w:sz="0" w:space="0" w:color="auto"/>
      </w:divBdr>
    </w:div>
    <w:div w:id="366225733">
      <w:bodyDiv w:val="1"/>
      <w:marLeft w:val="0"/>
      <w:marRight w:val="0"/>
      <w:marTop w:val="0"/>
      <w:marBottom w:val="0"/>
      <w:divBdr>
        <w:top w:val="none" w:sz="0" w:space="0" w:color="auto"/>
        <w:left w:val="none" w:sz="0" w:space="0" w:color="auto"/>
        <w:bottom w:val="none" w:sz="0" w:space="0" w:color="auto"/>
        <w:right w:val="none" w:sz="0" w:space="0" w:color="auto"/>
      </w:divBdr>
    </w:div>
    <w:div w:id="374431633">
      <w:bodyDiv w:val="1"/>
      <w:marLeft w:val="0"/>
      <w:marRight w:val="0"/>
      <w:marTop w:val="0"/>
      <w:marBottom w:val="0"/>
      <w:divBdr>
        <w:top w:val="none" w:sz="0" w:space="0" w:color="auto"/>
        <w:left w:val="none" w:sz="0" w:space="0" w:color="auto"/>
        <w:bottom w:val="none" w:sz="0" w:space="0" w:color="auto"/>
        <w:right w:val="none" w:sz="0" w:space="0" w:color="auto"/>
      </w:divBdr>
    </w:div>
    <w:div w:id="445270830">
      <w:bodyDiv w:val="1"/>
      <w:marLeft w:val="0"/>
      <w:marRight w:val="0"/>
      <w:marTop w:val="0"/>
      <w:marBottom w:val="0"/>
      <w:divBdr>
        <w:top w:val="none" w:sz="0" w:space="0" w:color="auto"/>
        <w:left w:val="none" w:sz="0" w:space="0" w:color="auto"/>
        <w:bottom w:val="none" w:sz="0" w:space="0" w:color="auto"/>
        <w:right w:val="none" w:sz="0" w:space="0" w:color="auto"/>
      </w:divBdr>
    </w:div>
    <w:div w:id="780883654">
      <w:bodyDiv w:val="1"/>
      <w:marLeft w:val="0"/>
      <w:marRight w:val="0"/>
      <w:marTop w:val="0"/>
      <w:marBottom w:val="0"/>
      <w:divBdr>
        <w:top w:val="none" w:sz="0" w:space="0" w:color="auto"/>
        <w:left w:val="none" w:sz="0" w:space="0" w:color="auto"/>
        <w:bottom w:val="none" w:sz="0" w:space="0" w:color="auto"/>
        <w:right w:val="none" w:sz="0" w:space="0" w:color="auto"/>
      </w:divBdr>
    </w:div>
    <w:div w:id="945117003">
      <w:bodyDiv w:val="1"/>
      <w:marLeft w:val="0"/>
      <w:marRight w:val="0"/>
      <w:marTop w:val="0"/>
      <w:marBottom w:val="0"/>
      <w:divBdr>
        <w:top w:val="none" w:sz="0" w:space="0" w:color="auto"/>
        <w:left w:val="none" w:sz="0" w:space="0" w:color="auto"/>
        <w:bottom w:val="none" w:sz="0" w:space="0" w:color="auto"/>
        <w:right w:val="none" w:sz="0" w:space="0" w:color="auto"/>
      </w:divBdr>
    </w:div>
    <w:div w:id="998968844">
      <w:bodyDiv w:val="1"/>
      <w:marLeft w:val="0"/>
      <w:marRight w:val="0"/>
      <w:marTop w:val="0"/>
      <w:marBottom w:val="0"/>
      <w:divBdr>
        <w:top w:val="none" w:sz="0" w:space="0" w:color="auto"/>
        <w:left w:val="none" w:sz="0" w:space="0" w:color="auto"/>
        <w:bottom w:val="none" w:sz="0" w:space="0" w:color="auto"/>
        <w:right w:val="none" w:sz="0" w:space="0" w:color="auto"/>
      </w:divBdr>
    </w:div>
    <w:div w:id="1278902163">
      <w:bodyDiv w:val="1"/>
      <w:marLeft w:val="0"/>
      <w:marRight w:val="0"/>
      <w:marTop w:val="0"/>
      <w:marBottom w:val="0"/>
      <w:divBdr>
        <w:top w:val="none" w:sz="0" w:space="0" w:color="auto"/>
        <w:left w:val="none" w:sz="0" w:space="0" w:color="auto"/>
        <w:bottom w:val="none" w:sz="0" w:space="0" w:color="auto"/>
        <w:right w:val="none" w:sz="0" w:space="0" w:color="auto"/>
      </w:divBdr>
    </w:div>
    <w:div w:id="1437752350">
      <w:bodyDiv w:val="1"/>
      <w:marLeft w:val="0"/>
      <w:marRight w:val="0"/>
      <w:marTop w:val="0"/>
      <w:marBottom w:val="0"/>
      <w:divBdr>
        <w:top w:val="none" w:sz="0" w:space="0" w:color="auto"/>
        <w:left w:val="none" w:sz="0" w:space="0" w:color="auto"/>
        <w:bottom w:val="none" w:sz="0" w:space="0" w:color="auto"/>
        <w:right w:val="none" w:sz="0" w:space="0" w:color="auto"/>
      </w:divBdr>
    </w:div>
    <w:div w:id="1450397103">
      <w:bodyDiv w:val="1"/>
      <w:marLeft w:val="0"/>
      <w:marRight w:val="0"/>
      <w:marTop w:val="0"/>
      <w:marBottom w:val="0"/>
      <w:divBdr>
        <w:top w:val="none" w:sz="0" w:space="0" w:color="auto"/>
        <w:left w:val="none" w:sz="0" w:space="0" w:color="auto"/>
        <w:bottom w:val="none" w:sz="0" w:space="0" w:color="auto"/>
        <w:right w:val="none" w:sz="0" w:space="0" w:color="auto"/>
      </w:divBdr>
      <w:divsChild>
        <w:div w:id="2128087476">
          <w:marLeft w:val="0"/>
          <w:marRight w:val="0"/>
          <w:marTop w:val="0"/>
          <w:marBottom w:val="0"/>
          <w:divBdr>
            <w:top w:val="none" w:sz="0" w:space="0" w:color="auto"/>
            <w:left w:val="none" w:sz="0" w:space="0" w:color="auto"/>
            <w:bottom w:val="none" w:sz="0" w:space="0" w:color="auto"/>
            <w:right w:val="none" w:sz="0" w:space="0" w:color="auto"/>
          </w:divBdr>
        </w:div>
        <w:div w:id="1656298855">
          <w:marLeft w:val="0"/>
          <w:marRight w:val="0"/>
          <w:marTop w:val="0"/>
          <w:marBottom w:val="0"/>
          <w:divBdr>
            <w:top w:val="none" w:sz="0" w:space="0" w:color="auto"/>
            <w:left w:val="none" w:sz="0" w:space="0" w:color="auto"/>
            <w:bottom w:val="none" w:sz="0" w:space="0" w:color="auto"/>
            <w:right w:val="none" w:sz="0" w:space="0" w:color="auto"/>
          </w:divBdr>
          <w:divsChild>
            <w:div w:id="1837723922">
              <w:marLeft w:val="0"/>
              <w:marRight w:val="0"/>
              <w:marTop w:val="0"/>
              <w:marBottom w:val="0"/>
              <w:divBdr>
                <w:top w:val="none" w:sz="0" w:space="0" w:color="auto"/>
                <w:left w:val="none" w:sz="0" w:space="0" w:color="auto"/>
                <w:bottom w:val="none" w:sz="0" w:space="0" w:color="auto"/>
                <w:right w:val="none" w:sz="0" w:space="0" w:color="auto"/>
              </w:divBdr>
              <w:divsChild>
                <w:div w:id="818350864">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 w:id="468059622">
          <w:marLeft w:val="0"/>
          <w:marRight w:val="0"/>
          <w:marTop w:val="0"/>
          <w:marBottom w:val="0"/>
          <w:divBdr>
            <w:top w:val="none" w:sz="0" w:space="0" w:color="auto"/>
            <w:left w:val="none" w:sz="0" w:space="0" w:color="auto"/>
            <w:bottom w:val="none" w:sz="0" w:space="0" w:color="auto"/>
            <w:right w:val="none" w:sz="0" w:space="0" w:color="auto"/>
          </w:divBdr>
        </w:div>
      </w:divsChild>
    </w:div>
    <w:div w:id="1491672652">
      <w:bodyDiv w:val="1"/>
      <w:marLeft w:val="0"/>
      <w:marRight w:val="0"/>
      <w:marTop w:val="0"/>
      <w:marBottom w:val="0"/>
      <w:divBdr>
        <w:top w:val="none" w:sz="0" w:space="0" w:color="auto"/>
        <w:left w:val="none" w:sz="0" w:space="0" w:color="auto"/>
        <w:bottom w:val="none" w:sz="0" w:space="0" w:color="auto"/>
        <w:right w:val="none" w:sz="0" w:space="0" w:color="auto"/>
      </w:divBdr>
    </w:div>
    <w:div w:id="1761293136">
      <w:bodyDiv w:val="1"/>
      <w:marLeft w:val="0"/>
      <w:marRight w:val="0"/>
      <w:marTop w:val="0"/>
      <w:marBottom w:val="0"/>
      <w:divBdr>
        <w:top w:val="none" w:sz="0" w:space="0" w:color="auto"/>
        <w:left w:val="none" w:sz="0" w:space="0" w:color="auto"/>
        <w:bottom w:val="none" w:sz="0" w:space="0" w:color="auto"/>
        <w:right w:val="none" w:sz="0" w:space="0" w:color="auto"/>
      </w:divBdr>
    </w:div>
    <w:div w:id="202227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hyperlink" Target="mailto:event@zsdinaphi.b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prevention@zsdinaphi.be" TargetMode="External"/><Relationship Id="rId2" Type="http://schemas.openxmlformats.org/officeDocument/2006/relationships/numbering" Target="numbering.xml"/><Relationship Id="rId16" Type="http://schemas.openxmlformats.org/officeDocument/2006/relationships/hyperlink" Target="mailto:event@zsdinaphi.b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Prospectus%20d&#8217;&#233;v&#233;nement%20saisonnier%20(automne).dotx" TargetMode="External"/></Relationships>
</file>

<file path=word/theme/theme1.xml><?xml version="1.0" encoding="utf-8"?>
<a:theme xmlns:a="http://schemas.openxmlformats.org/drawingml/2006/main" name="Office Theme">
  <a:themeElements>
    <a:clrScheme name="Fall Business">
      <a:dk1>
        <a:sysClr val="windowText" lastClr="000000"/>
      </a:dk1>
      <a:lt1>
        <a:sysClr val="window" lastClr="FFFFFF"/>
      </a:lt1>
      <a:dk2>
        <a:srgbClr val="3C2415"/>
      </a:dk2>
      <a:lt2>
        <a:srgbClr val="EADFCA"/>
      </a:lt2>
      <a:accent1>
        <a:srgbClr val="ED4136"/>
      </a:accent1>
      <a:accent2>
        <a:srgbClr val="F5A219"/>
      </a:accent2>
      <a:accent3>
        <a:srgbClr val="DE5B19"/>
      </a:accent3>
      <a:accent4>
        <a:srgbClr val="ACBC25"/>
      </a:accent4>
      <a:accent5>
        <a:srgbClr val="7B4A0F"/>
      </a:accent5>
      <a:accent6>
        <a:srgbClr val="801F2B"/>
      </a:accent6>
      <a:hlink>
        <a:srgbClr val="3D537E"/>
      </a:hlink>
      <a:folHlink>
        <a:srgbClr val="6047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76F54-2C7F-499D-9537-72D6B0C14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Prospectus d’événement saisonnier (automne)</Template>
  <TotalTime>460</TotalTime>
  <Pages>32</Pages>
  <Words>17577</Words>
  <Characters>96155</Characters>
  <Application>Microsoft Office Word</Application>
  <DocSecurity>0</DocSecurity>
  <Lines>801</Lines>
  <Paragraphs>227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ZDAD0009</dc:creator>
  <cp:keywords/>
  <dc:description/>
  <cp:lastModifiedBy>Laurent CHAMPAGNE</cp:lastModifiedBy>
  <cp:revision>12</cp:revision>
  <cp:lastPrinted>2019-01-14T13:01:00Z</cp:lastPrinted>
  <dcterms:created xsi:type="dcterms:W3CDTF">2020-11-06T14:15:00Z</dcterms:created>
  <dcterms:modified xsi:type="dcterms:W3CDTF">2025-06-03T11:17:00Z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TC039885649991</vt:lpwstr>
  </property>
  <property fmtid="{D5CDD505-2E9C-101B-9397-08002B2CF9AE}" pid="3" name="ContentTypeId">
    <vt:lpwstr>0x010100AA3F7D94069FF64A86F7DFF56D60E3BE</vt:lpwstr>
  </property>
</Properties>
</file>